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94126" w:rsidRPr="00A938AC" w14:paraId="2329329A" w14:textId="77777777" w:rsidTr="008D1CE8">
        <w:tc>
          <w:tcPr>
            <w:tcW w:w="4644" w:type="dxa"/>
          </w:tcPr>
          <w:p w14:paraId="48394119" w14:textId="77777777" w:rsidR="00A94126" w:rsidRPr="00A938AC" w:rsidRDefault="00A94126" w:rsidP="00A94126">
            <w:pPr>
              <w:rPr>
                <w:rFonts w:eastAsia="Times New Roman" w:cstheme="minorHAnsi"/>
                <w:sz w:val="24"/>
              </w:rPr>
            </w:pPr>
            <w:r w:rsidRPr="00A938AC">
              <w:rPr>
                <w:rFonts w:eastAsia="Times New Roman" w:cstheme="minorHAnsi"/>
                <w:sz w:val="24"/>
              </w:rPr>
              <w:t>REPUBLIKA HRVATSKA</w:t>
            </w:r>
          </w:p>
          <w:p w14:paraId="57834881" w14:textId="77777777" w:rsidR="00A94126" w:rsidRPr="00A938AC" w:rsidRDefault="00A94126" w:rsidP="00A94126">
            <w:pPr>
              <w:rPr>
                <w:rFonts w:eastAsia="Times New Roman" w:cstheme="minorHAnsi"/>
                <w:sz w:val="24"/>
              </w:rPr>
            </w:pPr>
            <w:r w:rsidRPr="00A938AC">
              <w:rPr>
                <w:rFonts w:eastAsia="Times New Roman" w:cstheme="minorHAnsi"/>
                <w:sz w:val="24"/>
              </w:rPr>
              <w:t>VUKOVARSKO-SRIJEMSKA ŽUPANIJA</w:t>
            </w:r>
          </w:p>
          <w:p w14:paraId="15F3B40F" w14:textId="241CDF22" w:rsidR="00A94126" w:rsidRPr="00A938AC" w:rsidRDefault="00A94126" w:rsidP="002A4C08">
            <w:pPr>
              <w:rPr>
                <w:rFonts w:eastAsia="Times New Roman" w:cstheme="minorHAnsi"/>
                <w:sz w:val="24"/>
              </w:rPr>
            </w:pPr>
            <w:r w:rsidRPr="00A938AC">
              <w:rPr>
                <w:rFonts w:eastAsia="Times New Roman" w:cstheme="minorHAnsi"/>
                <w:sz w:val="24"/>
              </w:rPr>
              <w:t xml:space="preserve">OSNOVNA ŠKOLA </w:t>
            </w:r>
            <w:r w:rsidR="00020DE1">
              <w:rPr>
                <w:rFonts w:eastAsia="Times New Roman" w:cstheme="minorHAnsi"/>
                <w:sz w:val="24"/>
              </w:rPr>
              <w:t>GRADIŠTE</w:t>
            </w:r>
          </w:p>
          <w:p w14:paraId="414F5B7F" w14:textId="30AB0199" w:rsidR="00A94126" w:rsidRPr="00A938AC" w:rsidRDefault="00020DE1" w:rsidP="00A94126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Kolodvorska 27</w:t>
            </w:r>
          </w:p>
          <w:p w14:paraId="1C75EBE2" w14:textId="588765C1" w:rsidR="00A94126" w:rsidRPr="00A938AC" w:rsidRDefault="00020DE1" w:rsidP="00A94126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32273 Gradište</w:t>
            </w:r>
          </w:p>
          <w:p w14:paraId="72E70149" w14:textId="3193560D" w:rsidR="00A94126" w:rsidRPr="00A938AC" w:rsidRDefault="00A94126" w:rsidP="00020DE1">
            <w:pPr>
              <w:rPr>
                <w:rFonts w:eastAsia="Times New Roman" w:cstheme="minorHAnsi"/>
                <w:sz w:val="24"/>
              </w:rPr>
            </w:pPr>
            <w:r w:rsidRPr="00A938AC">
              <w:rPr>
                <w:rFonts w:eastAsia="Times New Roman" w:cstheme="minorHAnsi"/>
                <w:sz w:val="24"/>
              </w:rPr>
              <w:t>OIB:</w:t>
            </w:r>
            <w:r w:rsidR="00020DE1">
              <w:rPr>
                <w:rFonts w:eastAsia="Times New Roman" w:cstheme="minorHAnsi"/>
                <w:sz w:val="24"/>
              </w:rPr>
              <w:t>81359231010</w:t>
            </w:r>
          </w:p>
        </w:tc>
      </w:tr>
      <w:tr w:rsidR="00A94126" w:rsidRPr="00A938AC" w14:paraId="02CDF65D" w14:textId="77777777" w:rsidTr="008D1CE8">
        <w:tc>
          <w:tcPr>
            <w:tcW w:w="4644" w:type="dxa"/>
          </w:tcPr>
          <w:p w14:paraId="7E86F2C4" w14:textId="77777777" w:rsidR="00A94126" w:rsidRPr="00A938AC" w:rsidRDefault="00A94126">
            <w:pPr>
              <w:rPr>
                <w:rFonts w:cstheme="minorHAnsi"/>
              </w:rPr>
            </w:pPr>
          </w:p>
          <w:p w14:paraId="1A1C4B95" w14:textId="77777777" w:rsidR="00827F17" w:rsidRPr="00A938AC" w:rsidRDefault="00827F17">
            <w:pPr>
              <w:rPr>
                <w:rFonts w:cstheme="minorHAnsi"/>
              </w:rPr>
            </w:pPr>
          </w:p>
          <w:p w14:paraId="4A8C48B4" w14:textId="09CB0AC2" w:rsidR="00827F17" w:rsidRPr="00A938AC" w:rsidRDefault="00365FED" w:rsidP="00020DE1">
            <w:pPr>
              <w:rPr>
                <w:rFonts w:cstheme="minorHAnsi"/>
              </w:rPr>
            </w:pPr>
            <w:r w:rsidRPr="00A938AC">
              <w:rPr>
                <w:rFonts w:cstheme="minorHAnsi"/>
              </w:rPr>
              <w:t xml:space="preserve">Bošnjaci, </w:t>
            </w:r>
            <w:r w:rsidR="00020DE1">
              <w:rPr>
                <w:rFonts w:cstheme="minorHAnsi"/>
              </w:rPr>
              <w:t>13.02</w:t>
            </w:r>
            <w:r w:rsidR="008D7A2E">
              <w:rPr>
                <w:rFonts w:cstheme="minorHAnsi"/>
              </w:rPr>
              <w:t>.2024</w:t>
            </w:r>
            <w:r w:rsidR="00827F17" w:rsidRPr="00A938AC">
              <w:rPr>
                <w:rFonts w:cstheme="minorHAnsi"/>
              </w:rPr>
              <w:t>.</w:t>
            </w:r>
          </w:p>
        </w:tc>
      </w:tr>
    </w:tbl>
    <w:p w14:paraId="32710083" w14:textId="77777777" w:rsidR="00B53D45" w:rsidRPr="00A938AC" w:rsidRDefault="00B53D45" w:rsidP="00A94126">
      <w:pPr>
        <w:spacing w:after="0"/>
        <w:rPr>
          <w:rFonts w:cstheme="minorHAnsi"/>
        </w:rPr>
      </w:pPr>
    </w:p>
    <w:p w14:paraId="342D7A4F" w14:textId="77777777" w:rsidR="00B53D45" w:rsidRPr="00A938AC" w:rsidRDefault="00B53D45" w:rsidP="00A94126">
      <w:pPr>
        <w:spacing w:after="0"/>
        <w:jc w:val="center"/>
        <w:rPr>
          <w:rFonts w:cstheme="minorHAnsi"/>
          <w:b/>
          <w:sz w:val="32"/>
          <w:szCs w:val="32"/>
        </w:rPr>
      </w:pPr>
      <w:r w:rsidRPr="00A938AC">
        <w:rPr>
          <w:rFonts w:cstheme="minorHAnsi"/>
          <w:b/>
          <w:sz w:val="32"/>
          <w:szCs w:val="32"/>
        </w:rPr>
        <w:t>BILJEŠKE UZ FINANCIJSKO IZVJEŠĆE</w:t>
      </w:r>
    </w:p>
    <w:p w14:paraId="4FB9F593" w14:textId="6D883083" w:rsidR="00B53D45" w:rsidRPr="00A938AC" w:rsidRDefault="00B53D45" w:rsidP="00A94126">
      <w:pPr>
        <w:spacing w:after="0"/>
        <w:jc w:val="center"/>
        <w:rPr>
          <w:rFonts w:cstheme="minorHAnsi"/>
          <w:b/>
          <w:sz w:val="32"/>
          <w:szCs w:val="32"/>
        </w:rPr>
      </w:pPr>
      <w:r w:rsidRPr="00A938AC">
        <w:rPr>
          <w:rFonts w:cstheme="minorHAnsi"/>
          <w:b/>
          <w:sz w:val="32"/>
          <w:szCs w:val="32"/>
        </w:rPr>
        <w:t xml:space="preserve">ZA </w:t>
      </w:r>
      <w:r w:rsidR="00365FED" w:rsidRPr="00A938AC">
        <w:rPr>
          <w:rFonts w:cstheme="minorHAnsi"/>
          <w:b/>
          <w:sz w:val="32"/>
          <w:szCs w:val="32"/>
        </w:rPr>
        <w:t>I-</w:t>
      </w:r>
      <w:r w:rsidR="008136CC" w:rsidRPr="00A938AC">
        <w:rPr>
          <w:rFonts w:cstheme="minorHAnsi"/>
          <w:b/>
          <w:sz w:val="32"/>
          <w:szCs w:val="32"/>
        </w:rPr>
        <w:t>X</w:t>
      </w:r>
      <w:r w:rsidR="00926189" w:rsidRPr="00A938AC">
        <w:rPr>
          <w:rFonts w:cstheme="minorHAnsi"/>
          <w:b/>
          <w:sz w:val="32"/>
          <w:szCs w:val="32"/>
        </w:rPr>
        <w:t>II</w:t>
      </w:r>
      <w:r w:rsidR="00FC5BD0" w:rsidRPr="00A938AC">
        <w:rPr>
          <w:rFonts w:cstheme="minorHAnsi"/>
          <w:b/>
          <w:sz w:val="32"/>
          <w:szCs w:val="32"/>
        </w:rPr>
        <w:t xml:space="preserve"> </w:t>
      </w:r>
      <w:r w:rsidRPr="00A938AC">
        <w:rPr>
          <w:rFonts w:cstheme="minorHAnsi"/>
          <w:b/>
          <w:sz w:val="32"/>
          <w:szCs w:val="32"/>
        </w:rPr>
        <w:t>20</w:t>
      </w:r>
      <w:r w:rsidR="00365FED" w:rsidRPr="00A938AC">
        <w:rPr>
          <w:rFonts w:cstheme="minorHAnsi"/>
          <w:b/>
          <w:sz w:val="32"/>
          <w:szCs w:val="32"/>
        </w:rPr>
        <w:t>23</w:t>
      </w:r>
      <w:r w:rsidRPr="00A938AC">
        <w:rPr>
          <w:rFonts w:cstheme="minorHAnsi"/>
          <w:b/>
          <w:sz w:val="32"/>
          <w:szCs w:val="32"/>
        </w:rPr>
        <w:t>. GODINU</w:t>
      </w:r>
    </w:p>
    <w:p w14:paraId="2C0EF02E" w14:textId="77777777" w:rsidR="00FC5BD0" w:rsidRPr="00A938AC" w:rsidRDefault="00FC5BD0" w:rsidP="00A94126">
      <w:pPr>
        <w:spacing w:after="0"/>
        <w:jc w:val="center"/>
        <w:rPr>
          <w:rFonts w:cstheme="minorHAnsi"/>
          <w:b/>
          <w:sz w:val="24"/>
          <w:szCs w:val="32"/>
        </w:rPr>
      </w:pPr>
    </w:p>
    <w:p w14:paraId="5420DE24" w14:textId="77777777" w:rsidR="00FC5BD0" w:rsidRPr="00A938AC" w:rsidRDefault="00FC5BD0" w:rsidP="00A94126">
      <w:pPr>
        <w:spacing w:after="0"/>
        <w:jc w:val="center"/>
        <w:rPr>
          <w:rFonts w:cstheme="minorHAnsi"/>
          <w:b/>
          <w:sz w:val="32"/>
          <w:szCs w:val="32"/>
        </w:rPr>
      </w:pPr>
      <w:r w:rsidRPr="00A938AC">
        <w:rPr>
          <w:rFonts w:cstheme="minorHAnsi"/>
          <w:b/>
          <w:sz w:val="32"/>
          <w:szCs w:val="32"/>
        </w:rPr>
        <w:t xml:space="preserve">Bilješke uz Izvještaj o prihodima i rashodima, </w:t>
      </w:r>
    </w:p>
    <w:p w14:paraId="0BF6E538" w14:textId="77777777" w:rsidR="00FC5BD0" w:rsidRPr="00A938AC" w:rsidRDefault="00FC5BD0" w:rsidP="00A94126">
      <w:pPr>
        <w:spacing w:after="0"/>
        <w:jc w:val="center"/>
        <w:rPr>
          <w:rFonts w:cstheme="minorHAnsi"/>
          <w:b/>
          <w:sz w:val="32"/>
          <w:szCs w:val="32"/>
        </w:rPr>
      </w:pPr>
      <w:r w:rsidRPr="00A938AC">
        <w:rPr>
          <w:rFonts w:cstheme="minorHAnsi"/>
          <w:b/>
          <w:sz w:val="32"/>
          <w:szCs w:val="32"/>
        </w:rPr>
        <w:t>primicima i izdacima</w:t>
      </w:r>
    </w:p>
    <w:p w14:paraId="19C45C87" w14:textId="77777777" w:rsidR="00FC5BD0" w:rsidRPr="00A938AC" w:rsidRDefault="00FC5BD0" w:rsidP="00A94126">
      <w:pPr>
        <w:spacing w:after="0"/>
        <w:jc w:val="center"/>
        <w:rPr>
          <w:rFonts w:cstheme="minorHAnsi"/>
          <w:b/>
          <w:sz w:val="24"/>
          <w:szCs w:val="32"/>
        </w:rPr>
      </w:pPr>
    </w:p>
    <w:p w14:paraId="1D1E6FF3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PRIHODI POSLOVANJA</w:t>
      </w:r>
    </w:p>
    <w:p w14:paraId="33B98D01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70631D07" w14:textId="2FD6D54B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</w:t>
      </w:r>
      <w:r w:rsidR="00B642FD" w:rsidRPr="00A938AC">
        <w:rPr>
          <w:rFonts w:asciiTheme="minorHAnsi" w:hAnsiTheme="minorHAnsi" w:cstheme="minorHAnsi"/>
          <w:color w:val="000000" w:themeColor="text1"/>
        </w:rPr>
        <w:t xml:space="preserve">pni prihodi poslovanja </w:t>
      </w:r>
      <w:r w:rsidRPr="00A938AC">
        <w:rPr>
          <w:rFonts w:asciiTheme="minorHAnsi" w:hAnsiTheme="minorHAnsi" w:cstheme="minorHAnsi"/>
          <w:color w:val="000000" w:themeColor="text1"/>
        </w:rPr>
        <w:t>202</w:t>
      </w:r>
      <w:r w:rsidR="00F703A2" w:rsidRPr="00A938AC">
        <w:rPr>
          <w:rFonts w:asciiTheme="minorHAnsi" w:hAnsiTheme="minorHAnsi" w:cstheme="minorHAnsi"/>
          <w:color w:val="000000" w:themeColor="text1"/>
        </w:rPr>
        <w:t>3</w:t>
      </w:r>
      <w:r w:rsidRPr="00A938AC">
        <w:rPr>
          <w:rFonts w:asciiTheme="minorHAnsi" w:hAnsiTheme="minorHAnsi" w:cstheme="minorHAnsi"/>
          <w:color w:val="000000" w:themeColor="text1"/>
        </w:rPr>
        <w:t xml:space="preserve">. godine evidentirani su u ukupnom iznosu od </w:t>
      </w:r>
      <w:r w:rsidR="00087534">
        <w:rPr>
          <w:rFonts w:asciiTheme="minorHAnsi" w:hAnsiTheme="minorHAnsi" w:cstheme="minorHAnsi"/>
          <w:color w:val="000000" w:themeColor="text1"/>
        </w:rPr>
        <w:t>879.976,91</w:t>
      </w:r>
      <w:r w:rsidR="002934AE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365FED" w:rsidRPr="00A938AC">
        <w:rPr>
          <w:rFonts w:asciiTheme="minorHAnsi" w:hAnsiTheme="minorHAnsi" w:cstheme="minorHAnsi"/>
          <w:color w:val="000000" w:themeColor="text1"/>
        </w:rPr>
        <w:t>EUR</w:t>
      </w:r>
      <w:r w:rsidRPr="00A938AC">
        <w:rPr>
          <w:rFonts w:asciiTheme="minorHAnsi" w:hAnsiTheme="minorHAnsi" w:cstheme="minorHAnsi"/>
          <w:color w:val="000000" w:themeColor="text1"/>
        </w:rPr>
        <w:t xml:space="preserve"> i kao takvi predstavljaju povećanje od </w:t>
      </w:r>
      <w:r w:rsidR="00334721">
        <w:rPr>
          <w:rFonts w:asciiTheme="minorHAnsi" w:hAnsiTheme="minorHAnsi" w:cstheme="minorHAnsi"/>
          <w:color w:val="000000" w:themeColor="text1"/>
        </w:rPr>
        <w:t>13</w:t>
      </w:r>
      <w:r w:rsidRPr="00A938AC">
        <w:rPr>
          <w:rFonts w:asciiTheme="minorHAnsi" w:hAnsiTheme="minorHAnsi" w:cstheme="minorHAnsi"/>
          <w:color w:val="000000" w:themeColor="text1"/>
        </w:rPr>
        <w:t xml:space="preserve">% u odnosu na </w:t>
      </w:r>
      <w:r w:rsidR="00365FED" w:rsidRPr="00A938AC">
        <w:rPr>
          <w:rFonts w:asciiTheme="minorHAnsi" w:hAnsiTheme="minorHAnsi" w:cstheme="minorHAnsi"/>
          <w:color w:val="000000" w:themeColor="text1"/>
        </w:rPr>
        <w:t>isto razdoblje 2022</w:t>
      </w:r>
      <w:r w:rsidRPr="00A938AC">
        <w:rPr>
          <w:rFonts w:asciiTheme="minorHAnsi" w:hAnsiTheme="minorHAnsi" w:cstheme="minorHAnsi"/>
          <w:color w:val="000000" w:themeColor="text1"/>
        </w:rPr>
        <w:t>. godine. Razlozi povećanja prihod</w:t>
      </w:r>
      <w:r w:rsidR="00FD2D03" w:rsidRPr="00A938AC">
        <w:rPr>
          <w:rFonts w:asciiTheme="minorHAnsi" w:hAnsiTheme="minorHAnsi" w:cstheme="minorHAnsi"/>
          <w:color w:val="000000" w:themeColor="text1"/>
        </w:rPr>
        <w:t>a</w:t>
      </w:r>
      <w:r w:rsidRPr="00A938AC">
        <w:rPr>
          <w:rFonts w:asciiTheme="minorHAnsi" w:hAnsiTheme="minorHAnsi" w:cstheme="minorHAnsi"/>
          <w:color w:val="000000" w:themeColor="text1"/>
        </w:rPr>
        <w:t xml:space="preserve"> detaljnije su opisani  u nastavku kroz analizi pojedinih stavki prihoda.</w:t>
      </w:r>
    </w:p>
    <w:p w14:paraId="255D8231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0F5853F7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63 – Pomoći iz inozemstva i od subjekata unutar općeg proračuna</w:t>
      </w:r>
    </w:p>
    <w:p w14:paraId="4A99ED1E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0E2A6F31" w14:textId="5F55B80B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Ukupno ostvareni prihodi un</w:t>
      </w:r>
      <w:r w:rsidR="00365FED" w:rsidRPr="00A938AC">
        <w:rPr>
          <w:rFonts w:asciiTheme="minorHAnsi" w:hAnsiTheme="minorHAnsi" w:cstheme="minorHAnsi"/>
          <w:color w:val="000000" w:themeColor="text1"/>
        </w:rPr>
        <w:t>utar 63 razreda u razdoblju I-</w:t>
      </w:r>
      <w:r w:rsidR="008136CC" w:rsidRPr="00A938AC">
        <w:rPr>
          <w:rFonts w:asciiTheme="minorHAnsi" w:hAnsiTheme="minorHAnsi" w:cstheme="minorHAnsi"/>
          <w:color w:val="000000" w:themeColor="text1"/>
        </w:rPr>
        <w:t>X</w:t>
      </w:r>
      <w:r w:rsidR="00FD2D03" w:rsidRPr="00A938AC">
        <w:rPr>
          <w:rFonts w:asciiTheme="minorHAnsi" w:hAnsiTheme="minorHAnsi" w:cstheme="minorHAnsi"/>
          <w:color w:val="000000" w:themeColor="text1"/>
        </w:rPr>
        <w:t>II</w:t>
      </w:r>
      <w:r w:rsidRPr="00A938AC">
        <w:rPr>
          <w:rFonts w:asciiTheme="minorHAnsi" w:hAnsiTheme="minorHAnsi" w:cstheme="minorHAnsi"/>
          <w:color w:val="000000" w:themeColor="text1"/>
        </w:rPr>
        <w:t xml:space="preserve"> 20</w:t>
      </w:r>
      <w:r w:rsidR="00365FED" w:rsidRPr="00A938AC">
        <w:rPr>
          <w:rFonts w:asciiTheme="minorHAnsi" w:hAnsiTheme="minorHAnsi" w:cstheme="minorHAnsi"/>
          <w:color w:val="000000" w:themeColor="text1"/>
        </w:rPr>
        <w:t>23</w:t>
      </w:r>
      <w:r w:rsidRPr="00A938AC">
        <w:rPr>
          <w:rFonts w:asciiTheme="minorHAnsi" w:hAnsiTheme="minorHAnsi" w:cstheme="minorHAnsi"/>
          <w:color w:val="000000" w:themeColor="text1"/>
        </w:rPr>
        <w:t xml:space="preserve">. iznose </w:t>
      </w:r>
      <w:r w:rsidR="00087534">
        <w:rPr>
          <w:rFonts w:asciiTheme="minorHAnsi" w:hAnsiTheme="minorHAnsi" w:cstheme="minorHAnsi"/>
          <w:color w:val="000000" w:themeColor="text1"/>
        </w:rPr>
        <w:t>761.624,39</w:t>
      </w:r>
      <w:r w:rsidR="00365FED" w:rsidRPr="00A938AC">
        <w:rPr>
          <w:rFonts w:asciiTheme="minorHAnsi" w:hAnsiTheme="minorHAnsi" w:cstheme="minorHAnsi"/>
          <w:color w:val="000000" w:themeColor="text1"/>
        </w:rPr>
        <w:t xml:space="preserve"> EUR</w:t>
      </w:r>
      <w:r w:rsidRPr="00A938AC">
        <w:rPr>
          <w:rFonts w:asciiTheme="minorHAnsi" w:hAnsiTheme="minorHAnsi" w:cstheme="minorHAnsi"/>
          <w:color w:val="000000" w:themeColor="text1"/>
        </w:rPr>
        <w:t xml:space="preserve"> te su povećani za </w:t>
      </w:r>
      <w:r w:rsidR="00087534">
        <w:rPr>
          <w:rFonts w:asciiTheme="minorHAnsi" w:hAnsiTheme="minorHAnsi" w:cstheme="minorHAnsi"/>
          <w:color w:val="000000" w:themeColor="text1"/>
        </w:rPr>
        <w:t>9,3</w:t>
      </w:r>
      <w:r w:rsidRPr="00A938AC">
        <w:rPr>
          <w:rFonts w:asciiTheme="minorHAnsi" w:hAnsiTheme="minorHAnsi" w:cstheme="minorHAnsi"/>
          <w:color w:val="000000" w:themeColor="text1"/>
        </w:rPr>
        <w:t>% u odnosu na isto razdoblje 202</w:t>
      </w:r>
      <w:r w:rsidR="00365FED" w:rsidRPr="00A938AC">
        <w:rPr>
          <w:rFonts w:asciiTheme="minorHAnsi" w:hAnsiTheme="minorHAnsi" w:cstheme="minorHAnsi"/>
          <w:color w:val="000000" w:themeColor="text1"/>
        </w:rPr>
        <w:t>2</w:t>
      </w:r>
      <w:r w:rsidRPr="00A938AC">
        <w:rPr>
          <w:rFonts w:asciiTheme="minorHAnsi" w:hAnsiTheme="minorHAnsi" w:cstheme="minorHAnsi"/>
          <w:color w:val="000000" w:themeColor="text1"/>
        </w:rPr>
        <w:t>. godine.</w:t>
      </w:r>
    </w:p>
    <w:p w14:paraId="0CF875BC" w14:textId="4C213908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 xml:space="preserve">Razlog povećanje prihoda, najvećim dijelom, nalazi se u povećanju prihoda iz državnog proračuna za </w:t>
      </w:r>
      <w:r w:rsidR="00365FED" w:rsidRPr="00A938AC">
        <w:rPr>
          <w:rFonts w:asciiTheme="minorHAnsi" w:hAnsiTheme="minorHAnsi" w:cstheme="minorHAnsi"/>
          <w:color w:val="000000" w:themeColor="text1"/>
        </w:rPr>
        <w:t xml:space="preserve">redovne </w:t>
      </w:r>
      <w:r w:rsidRPr="00A938AC">
        <w:rPr>
          <w:rFonts w:asciiTheme="minorHAnsi" w:hAnsiTheme="minorHAnsi" w:cstheme="minorHAnsi"/>
          <w:color w:val="000000" w:themeColor="text1"/>
        </w:rPr>
        <w:t xml:space="preserve">plaće  djelatnicima koje su u promatranom razdoblju porasle temeljem novog kolektivnog ugovora potpisanog između sindikata i ministarstva a kojim je povećana osnovica izračun primanja djelatnicima osnovnoškolskih ustanova kao i pojedina materijalna prava. </w:t>
      </w:r>
      <w:r w:rsidR="00365FED" w:rsidRPr="00A938AC">
        <w:rPr>
          <w:rFonts w:asciiTheme="minorHAnsi" w:hAnsiTheme="minorHAnsi" w:cstheme="minorHAnsi"/>
          <w:color w:val="000000" w:themeColor="text1"/>
        </w:rPr>
        <w:t>T</w:t>
      </w:r>
      <w:r w:rsidRPr="00A938AC">
        <w:rPr>
          <w:rFonts w:asciiTheme="minorHAnsi" w:hAnsiTheme="minorHAnsi" w:cstheme="minorHAnsi"/>
          <w:color w:val="000000" w:themeColor="text1"/>
        </w:rPr>
        <w:t xml:space="preserve">akođer rast ove vrste prihoda ogleda se i u </w:t>
      </w:r>
      <w:r w:rsidR="00365FED" w:rsidRPr="00A938AC">
        <w:rPr>
          <w:rFonts w:asciiTheme="minorHAnsi" w:hAnsiTheme="minorHAnsi" w:cstheme="minorHAnsi"/>
          <w:color w:val="000000" w:themeColor="text1"/>
        </w:rPr>
        <w:t>generiranju dodatnih prihoda iz državnog proračuna za financiranje prehrane učenika temeljem Odluke Vlade Republike Hrvatske o kriterijima i načinu financiranja, odnosno sufinanciranja troškova prehrane za učenike osnovnih škola.</w:t>
      </w:r>
    </w:p>
    <w:p w14:paraId="32C952FD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70817565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65 – Prihodi od upravnih i administrativnih pristojbi, pristojbi po posebnim propisima i naknada</w:t>
      </w:r>
    </w:p>
    <w:p w14:paraId="31819A74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64D40E52" w14:textId="548353B2" w:rsidR="00FC5BD0" w:rsidRPr="00A938AC" w:rsidRDefault="00B5122A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Prihodi od upravnih i administrativnih pristojbi, pristojbi po posebnim propisima i naknada</w:t>
      </w:r>
      <w:r w:rsidR="00365FED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Pr="00A938AC">
        <w:rPr>
          <w:rFonts w:asciiTheme="minorHAnsi" w:hAnsiTheme="minorHAnsi" w:cstheme="minorHAnsi"/>
          <w:color w:val="000000" w:themeColor="text1"/>
        </w:rPr>
        <w:t xml:space="preserve">iznose </w:t>
      </w:r>
      <w:r w:rsidR="00334721">
        <w:rPr>
          <w:rFonts w:asciiTheme="minorHAnsi" w:hAnsiTheme="minorHAnsi" w:cstheme="minorHAnsi"/>
          <w:color w:val="000000" w:themeColor="text1"/>
        </w:rPr>
        <w:t>60.991,15</w:t>
      </w:r>
      <w:r w:rsidR="001864CB" w:rsidRPr="00A938AC">
        <w:rPr>
          <w:rFonts w:asciiTheme="minorHAnsi" w:hAnsiTheme="minorHAnsi" w:cstheme="minorHAnsi"/>
          <w:color w:val="000000" w:themeColor="text1"/>
        </w:rPr>
        <w:t xml:space="preserve"> EUR i </w:t>
      </w:r>
      <w:r w:rsidR="00334721">
        <w:rPr>
          <w:rFonts w:asciiTheme="minorHAnsi" w:hAnsiTheme="minorHAnsi" w:cstheme="minorHAnsi"/>
          <w:color w:val="000000" w:themeColor="text1"/>
        </w:rPr>
        <w:t>porasli</w:t>
      </w:r>
      <w:r w:rsidR="001864CB" w:rsidRPr="00A938AC">
        <w:rPr>
          <w:rFonts w:asciiTheme="minorHAnsi" w:hAnsiTheme="minorHAnsi" w:cstheme="minorHAnsi"/>
          <w:color w:val="000000" w:themeColor="text1"/>
        </w:rPr>
        <w:t xml:space="preserve"> su za </w:t>
      </w:r>
      <w:r w:rsidR="00377C33">
        <w:rPr>
          <w:rFonts w:asciiTheme="minorHAnsi" w:hAnsiTheme="minorHAnsi" w:cstheme="minorHAnsi"/>
          <w:color w:val="000000" w:themeColor="text1"/>
        </w:rPr>
        <w:t>1.172,6%</w:t>
      </w:r>
      <w:r w:rsidR="001864CB" w:rsidRPr="00A938AC">
        <w:rPr>
          <w:rFonts w:asciiTheme="minorHAnsi" w:hAnsiTheme="minorHAnsi" w:cstheme="minorHAnsi"/>
          <w:color w:val="000000" w:themeColor="text1"/>
        </w:rPr>
        <w:t xml:space="preserve"> u odnosu </w:t>
      </w:r>
      <w:r w:rsidR="00B13746">
        <w:rPr>
          <w:rFonts w:asciiTheme="minorHAnsi" w:hAnsiTheme="minorHAnsi" w:cstheme="minorHAnsi"/>
          <w:color w:val="000000" w:themeColor="text1"/>
        </w:rPr>
        <w:t>na isto razdoblje prošle godine. Š</w:t>
      </w:r>
      <w:r w:rsidR="00377C33">
        <w:rPr>
          <w:rFonts w:asciiTheme="minorHAnsi" w:hAnsiTheme="minorHAnsi" w:cstheme="minorHAnsi"/>
          <w:color w:val="000000" w:themeColor="text1"/>
        </w:rPr>
        <w:t xml:space="preserve">teta nastala na školi uslijed </w:t>
      </w:r>
      <w:r w:rsidR="00B13746">
        <w:rPr>
          <w:rFonts w:asciiTheme="minorHAnsi" w:hAnsiTheme="minorHAnsi" w:cstheme="minorHAnsi"/>
          <w:color w:val="000000" w:themeColor="text1"/>
        </w:rPr>
        <w:t>nevrijemena sanirana je iz osiguranja.</w:t>
      </w:r>
    </w:p>
    <w:p w14:paraId="3636476A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5B5E8F5D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66 – Prihodi od prodaje proizvoda i roba te pruženih usluga, prihodi od donacija te povrati po protestnim jamstvima</w:t>
      </w:r>
    </w:p>
    <w:p w14:paraId="55AEC52A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2CCEC90E" w14:textId="0DCB33C0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Ukupno ostvareni prihodi unutar 66 razreda</w:t>
      </w:r>
      <w:r w:rsidR="00A10C7E" w:rsidRPr="00A938AC">
        <w:rPr>
          <w:rFonts w:asciiTheme="minorHAnsi" w:hAnsiTheme="minorHAnsi" w:cstheme="minorHAnsi"/>
          <w:color w:val="000000" w:themeColor="text1"/>
        </w:rPr>
        <w:t xml:space="preserve"> u razdoblju I-</w:t>
      </w:r>
      <w:r w:rsidR="008136CC" w:rsidRPr="00A938AC">
        <w:rPr>
          <w:rFonts w:asciiTheme="minorHAnsi" w:hAnsiTheme="minorHAnsi" w:cstheme="minorHAnsi"/>
          <w:color w:val="000000" w:themeColor="text1"/>
        </w:rPr>
        <w:t>X</w:t>
      </w:r>
      <w:r w:rsidR="00C529C5" w:rsidRPr="00A938AC">
        <w:rPr>
          <w:rFonts w:asciiTheme="minorHAnsi" w:hAnsiTheme="minorHAnsi" w:cstheme="minorHAnsi"/>
          <w:color w:val="000000" w:themeColor="text1"/>
        </w:rPr>
        <w:t>II</w:t>
      </w:r>
      <w:r w:rsidR="00A10C7E" w:rsidRPr="00A938AC">
        <w:rPr>
          <w:rFonts w:asciiTheme="minorHAnsi" w:hAnsiTheme="minorHAnsi" w:cstheme="minorHAnsi"/>
          <w:color w:val="000000" w:themeColor="text1"/>
        </w:rPr>
        <w:t xml:space="preserve"> 2023</w:t>
      </w:r>
      <w:r w:rsidRPr="00A938AC">
        <w:rPr>
          <w:rFonts w:asciiTheme="minorHAnsi" w:hAnsiTheme="minorHAnsi" w:cstheme="minorHAnsi"/>
          <w:color w:val="000000" w:themeColor="text1"/>
        </w:rPr>
        <w:t xml:space="preserve">. iznose </w:t>
      </w:r>
      <w:r w:rsidR="00F02852" w:rsidRPr="00A938AC">
        <w:rPr>
          <w:rFonts w:asciiTheme="minorHAnsi" w:hAnsiTheme="minorHAnsi" w:cstheme="minorHAnsi"/>
          <w:color w:val="000000" w:themeColor="text1"/>
        </w:rPr>
        <w:t>1.</w:t>
      </w:r>
      <w:r w:rsidR="00377C33">
        <w:rPr>
          <w:rFonts w:asciiTheme="minorHAnsi" w:hAnsiTheme="minorHAnsi" w:cstheme="minorHAnsi"/>
          <w:color w:val="000000" w:themeColor="text1"/>
        </w:rPr>
        <w:t>255,74</w:t>
      </w:r>
      <w:r w:rsidR="00A10C7E" w:rsidRPr="00A938AC">
        <w:rPr>
          <w:rFonts w:asciiTheme="minorHAnsi" w:hAnsiTheme="minorHAnsi" w:cstheme="minorHAnsi"/>
          <w:color w:val="000000" w:themeColor="text1"/>
        </w:rPr>
        <w:t xml:space="preserve"> EUR</w:t>
      </w:r>
      <w:r w:rsidRPr="00A938AC">
        <w:rPr>
          <w:rFonts w:asciiTheme="minorHAnsi" w:hAnsiTheme="minorHAnsi" w:cstheme="minorHAnsi"/>
          <w:color w:val="000000" w:themeColor="text1"/>
        </w:rPr>
        <w:t xml:space="preserve"> te su </w:t>
      </w:r>
      <w:r w:rsidR="00377C33">
        <w:rPr>
          <w:rFonts w:asciiTheme="minorHAnsi" w:hAnsiTheme="minorHAnsi" w:cstheme="minorHAnsi"/>
          <w:color w:val="000000" w:themeColor="text1"/>
        </w:rPr>
        <w:t>umanjeni 0,96</w:t>
      </w:r>
      <w:r w:rsidR="001C43BA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Pr="00A938AC">
        <w:rPr>
          <w:rFonts w:asciiTheme="minorHAnsi" w:hAnsiTheme="minorHAnsi" w:cstheme="minorHAnsi"/>
          <w:color w:val="000000" w:themeColor="text1"/>
        </w:rPr>
        <w:t>% u odnosu na isto razdoblje 202</w:t>
      </w:r>
      <w:r w:rsidR="00A10C7E" w:rsidRPr="00A938AC">
        <w:rPr>
          <w:rFonts w:asciiTheme="minorHAnsi" w:hAnsiTheme="minorHAnsi" w:cstheme="minorHAnsi"/>
          <w:color w:val="000000" w:themeColor="text1"/>
        </w:rPr>
        <w:t>2</w:t>
      </w:r>
      <w:r w:rsidRPr="00A938AC">
        <w:rPr>
          <w:rFonts w:asciiTheme="minorHAnsi" w:hAnsiTheme="minorHAnsi" w:cstheme="minorHAnsi"/>
          <w:color w:val="000000" w:themeColor="text1"/>
        </w:rPr>
        <w:t>. godine.</w:t>
      </w:r>
    </w:p>
    <w:p w14:paraId="1403EE0A" w14:textId="2060EA7D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Ovdje se evidentiraju vlastiti prihod škole a koji se odnose na najam školske športske dvorena.</w:t>
      </w:r>
      <w:r w:rsidR="00A10C7E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377C33">
        <w:rPr>
          <w:rFonts w:asciiTheme="minorHAnsi" w:hAnsiTheme="minorHAnsi" w:cstheme="minorHAnsi"/>
          <w:color w:val="000000" w:themeColor="text1"/>
        </w:rPr>
        <w:t>P</w:t>
      </w:r>
      <w:r w:rsidR="00A10C7E" w:rsidRPr="00A938AC">
        <w:rPr>
          <w:rFonts w:asciiTheme="minorHAnsi" w:hAnsiTheme="minorHAnsi" w:cstheme="minorHAnsi"/>
          <w:color w:val="000000" w:themeColor="text1"/>
        </w:rPr>
        <w:t>očetkom 2022. godine najam sportske dvorane je bi</w:t>
      </w:r>
      <w:r w:rsidR="00996CD1" w:rsidRPr="00A938AC">
        <w:rPr>
          <w:rFonts w:asciiTheme="minorHAnsi" w:hAnsiTheme="minorHAnsi" w:cstheme="minorHAnsi"/>
          <w:color w:val="000000" w:themeColor="text1"/>
        </w:rPr>
        <w:t>o</w:t>
      </w:r>
      <w:r w:rsidR="00A10C7E" w:rsidRPr="00A938AC">
        <w:rPr>
          <w:rFonts w:asciiTheme="minorHAnsi" w:hAnsiTheme="minorHAnsi" w:cstheme="minorHAnsi"/>
          <w:color w:val="000000" w:themeColor="text1"/>
        </w:rPr>
        <w:t xml:space="preserve"> sveden na minimum zbog </w:t>
      </w:r>
      <w:proofErr w:type="spellStart"/>
      <w:r w:rsidR="00A10C7E" w:rsidRPr="00A938AC">
        <w:rPr>
          <w:rFonts w:asciiTheme="minorHAnsi" w:hAnsiTheme="minorHAnsi" w:cstheme="minorHAnsi"/>
          <w:color w:val="000000" w:themeColor="text1"/>
        </w:rPr>
        <w:t>pandemije</w:t>
      </w:r>
      <w:proofErr w:type="spellEnd"/>
      <w:r w:rsidR="00A10C7E" w:rsidRPr="00A938A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0C7E" w:rsidRPr="00A938AC">
        <w:rPr>
          <w:rFonts w:asciiTheme="minorHAnsi" w:hAnsiTheme="minorHAnsi" w:cstheme="minorHAnsi"/>
          <w:color w:val="000000" w:themeColor="text1"/>
        </w:rPr>
        <w:t>Covid</w:t>
      </w:r>
      <w:proofErr w:type="spellEnd"/>
      <w:r w:rsidR="00A10C7E" w:rsidRPr="00A938AC">
        <w:rPr>
          <w:rFonts w:asciiTheme="minorHAnsi" w:hAnsiTheme="minorHAnsi" w:cstheme="minorHAnsi"/>
          <w:color w:val="000000" w:themeColor="text1"/>
        </w:rPr>
        <w:t xml:space="preserve"> 19 virusa ali su tijekom 2022. godine, popuštanjem </w:t>
      </w:r>
      <w:proofErr w:type="spellStart"/>
      <w:r w:rsidR="00A10C7E" w:rsidRPr="00A938AC">
        <w:rPr>
          <w:rFonts w:asciiTheme="minorHAnsi" w:hAnsiTheme="minorHAnsi" w:cstheme="minorHAnsi"/>
          <w:color w:val="000000" w:themeColor="text1"/>
        </w:rPr>
        <w:t>Covid</w:t>
      </w:r>
      <w:proofErr w:type="spellEnd"/>
      <w:r w:rsidR="00A10C7E" w:rsidRPr="00A938AC">
        <w:rPr>
          <w:rFonts w:asciiTheme="minorHAnsi" w:hAnsiTheme="minorHAnsi" w:cstheme="minorHAnsi"/>
          <w:color w:val="000000" w:themeColor="text1"/>
        </w:rPr>
        <w:t xml:space="preserve"> mjera potpisalo nekoliko novih ugovora s lokalnim sportskim klubovima i pojedincima što se nastavilo i </w:t>
      </w:r>
      <w:r w:rsidR="00E64879" w:rsidRPr="00A938AC">
        <w:rPr>
          <w:rFonts w:asciiTheme="minorHAnsi" w:hAnsiTheme="minorHAnsi" w:cstheme="minorHAnsi"/>
          <w:color w:val="000000" w:themeColor="text1"/>
        </w:rPr>
        <w:t>tijekom</w:t>
      </w:r>
      <w:r w:rsidR="00377C33">
        <w:rPr>
          <w:rFonts w:asciiTheme="minorHAnsi" w:hAnsiTheme="minorHAnsi" w:cstheme="minorHAnsi"/>
          <w:color w:val="000000" w:themeColor="text1"/>
        </w:rPr>
        <w:t xml:space="preserve"> 2023. godine sve dok školski krov usred olujnog nevrijemena nije oštećen te najam više nije bio moguć.</w:t>
      </w:r>
    </w:p>
    <w:p w14:paraId="75CFA1D6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39809564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67 – Prihodi iz nadležnog proračuna i od HZZO-a na temelju ugovornih obveza</w:t>
      </w:r>
    </w:p>
    <w:p w14:paraId="14EFE08B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5185E559" w14:textId="3241C2D4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Ukupno ostvareni prihodi un</w:t>
      </w:r>
      <w:r w:rsidR="00A10C7E" w:rsidRPr="00A938AC">
        <w:rPr>
          <w:rFonts w:asciiTheme="minorHAnsi" w:hAnsiTheme="minorHAnsi" w:cstheme="minorHAnsi"/>
          <w:color w:val="000000" w:themeColor="text1"/>
        </w:rPr>
        <w:t>utar 67 razreda u razdoblju I-</w:t>
      </w:r>
      <w:r w:rsidR="008136CC" w:rsidRPr="00A938AC">
        <w:rPr>
          <w:rFonts w:asciiTheme="minorHAnsi" w:hAnsiTheme="minorHAnsi" w:cstheme="minorHAnsi"/>
          <w:color w:val="000000" w:themeColor="text1"/>
        </w:rPr>
        <w:t>X</w:t>
      </w:r>
      <w:r w:rsidR="00FC0DC1" w:rsidRPr="00A938AC">
        <w:rPr>
          <w:rFonts w:asciiTheme="minorHAnsi" w:hAnsiTheme="minorHAnsi" w:cstheme="minorHAnsi"/>
          <w:color w:val="000000" w:themeColor="text1"/>
        </w:rPr>
        <w:t>II</w:t>
      </w:r>
      <w:r w:rsidRPr="00A938AC">
        <w:rPr>
          <w:rFonts w:asciiTheme="minorHAnsi" w:hAnsiTheme="minorHAnsi" w:cstheme="minorHAnsi"/>
          <w:color w:val="000000" w:themeColor="text1"/>
        </w:rPr>
        <w:t xml:space="preserve"> 202</w:t>
      </w:r>
      <w:r w:rsidR="001B23E9" w:rsidRPr="00A938AC">
        <w:rPr>
          <w:rFonts w:asciiTheme="minorHAnsi" w:hAnsiTheme="minorHAnsi" w:cstheme="minorHAnsi"/>
          <w:color w:val="000000" w:themeColor="text1"/>
        </w:rPr>
        <w:t>3</w:t>
      </w:r>
      <w:r w:rsidRPr="00A938AC">
        <w:rPr>
          <w:rFonts w:asciiTheme="minorHAnsi" w:hAnsiTheme="minorHAnsi" w:cstheme="minorHAnsi"/>
          <w:color w:val="000000" w:themeColor="text1"/>
        </w:rPr>
        <w:t xml:space="preserve">. iznose </w:t>
      </w:r>
      <w:r w:rsidR="00377C33">
        <w:rPr>
          <w:rFonts w:asciiTheme="minorHAnsi" w:hAnsiTheme="minorHAnsi" w:cstheme="minorHAnsi"/>
          <w:color w:val="000000" w:themeColor="text1"/>
        </w:rPr>
        <w:t>56.088,63</w:t>
      </w:r>
      <w:r w:rsidR="00FC0DC1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A10C7E" w:rsidRPr="00A938AC">
        <w:rPr>
          <w:rFonts w:asciiTheme="minorHAnsi" w:hAnsiTheme="minorHAnsi" w:cstheme="minorHAnsi"/>
          <w:color w:val="000000" w:themeColor="text1"/>
        </w:rPr>
        <w:t>EUR</w:t>
      </w:r>
      <w:r w:rsidRPr="00A938AC">
        <w:rPr>
          <w:rFonts w:asciiTheme="minorHAnsi" w:hAnsiTheme="minorHAnsi" w:cstheme="minorHAnsi"/>
          <w:color w:val="000000" w:themeColor="text1"/>
        </w:rPr>
        <w:t xml:space="preserve"> te su </w:t>
      </w:r>
      <w:r w:rsidR="005D6C61" w:rsidRPr="00A938AC">
        <w:rPr>
          <w:rFonts w:asciiTheme="minorHAnsi" w:hAnsiTheme="minorHAnsi" w:cstheme="minorHAnsi"/>
          <w:color w:val="000000" w:themeColor="text1"/>
        </w:rPr>
        <w:t>se smanjili</w:t>
      </w:r>
      <w:r w:rsidRPr="00A938AC">
        <w:rPr>
          <w:rFonts w:asciiTheme="minorHAnsi" w:hAnsiTheme="minorHAnsi" w:cstheme="minorHAnsi"/>
          <w:color w:val="000000" w:themeColor="text1"/>
        </w:rPr>
        <w:t xml:space="preserve"> za </w:t>
      </w:r>
      <w:r w:rsidR="00B513D7">
        <w:rPr>
          <w:rFonts w:asciiTheme="minorHAnsi" w:hAnsiTheme="minorHAnsi" w:cstheme="minorHAnsi"/>
          <w:color w:val="000000" w:themeColor="text1"/>
        </w:rPr>
        <w:t>25,4</w:t>
      </w:r>
      <w:r w:rsidRPr="00A938AC">
        <w:rPr>
          <w:rFonts w:asciiTheme="minorHAnsi" w:hAnsiTheme="minorHAnsi" w:cstheme="minorHAnsi"/>
          <w:color w:val="000000" w:themeColor="text1"/>
        </w:rPr>
        <w:t xml:space="preserve"> % u odnosu na isto razdoblje 202</w:t>
      </w:r>
      <w:r w:rsidR="00A10C7E" w:rsidRPr="00A938AC">
        <w:rPr>
          <w:rFonts w:asciiTheme="minorHAnsi" w:hAnsiTheme="minorHAnsi" w:cstheme="minorHAnsi"/>
          <w:color w:val="000000" w:themeColor="text1"/>
        </w:rPr>
        <w:t>2</w:t>
      </w:r>
      <w:r w:rsidRPr="00A938AC">
        <w:rPr>
          <w:rFonts w:asciiTheme="minorHAnsi" w:hAnsiTheme="minorHAnsi" w:cstheme="minorHAnsi"/>
          <w:color w:val="000000" w:themeColor="text1"/>
        </w:rPr>
        <w:t>. godine.</w:t>
      </w:r>
    </w:p>
    <w:p w14:paraId="18BC71A8" w14:textId="37294293" w:rsidR="00FC5BD0" w:rsidRPr="00A938AC" w:rsidRDefault="005D6C61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Smanjen</w:t>
      </w:r>
      <w:r w:rsidR="00B13746">
        <w:rPr>
          <w:rFonts w:asciiTheme="minorHAnsi" w:hAnsiTheme="minorHAnsi" w:cstheme="minorHAnsi"/>
          <w:color w:val="000000" w:themeColor="text1"/>
        </w:rPr>
        <w:t>je prihoda u ra</w:t>
      </w:r>
      <w:r w:rsidRPr="00A938AC">
        <w:rPr>
          <w:rFonts w:asciiTheme="minorHAnsi" w:hAnsiTheme="minorHAnsi" w:cstheme="minorHAnsi"/>
          <w:color w:val="000000" w:themeColor="text1"/>
        </w:rPr>
        <w:t>zredu 67 ponajviše je rezultat</w:t>
      </w:r>
      <w:r w:rsidR="00673AC9" w:rsidRPr="00A938AC">
        <w:rPr>
          <w:rFonts w:asciiTheme="minorHAnsi" w:hAnsiTheme="minorHAnsi" w:cstheme="minorHAnsi"/>
          <w:color w:val="000000" w:themeColor="text1"/>
        </w:rPr>
        <w:t>:</w:t>
      </w:r>
    </w:p>
    <w:p w14:paraId="21867E80" w14:textId="3927A2C8" w:rsidR="00901730" w:rsidRPr="00A938AC" w:rsidRDefault="00522A3F" w:rsidP="00901730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s</w:t>
      </w:r>
      <w:r w:rsidR="00673AC9" w:rsidRPr="00A938AC">
        <w:rPr>
          <w:rFonts w:asciiTheme="minorHAnsi" w:hAnsiTheme="minorHAnsi" w:cstheme="minorHAnsi"/>
          <w:color w:val="000000" w:themeColor="text1"/>
        </w:rPr>
        <w:t>manjenog ut</w:t>
      </w:r>
      <w:r w:rsidR="00B13746">
        <w:rPr>
          <w:rFonts w:asciiTheme="minorHAnsi" w:hAnsiTheme="minorHAnsi" w:cstheme="minorHAnsi"/>
          <w:color w:val="000000" w:themeColor="text1"/>
        </w:rPr>
        <w:t>r</w:t>
      </w:r>
      <w:r w:rsidR="00673AC9" w:rsidRPr="00A938AC">
        <w:rPr>
          <w:rFonts w:asciiTheme="minorHAnsi" w:hAnsiTheme="minorHAnsi" w:cstheme="minorHAnsi"/>
          <w:color w:val="000000" w:themeColor="text1"/>
        </w:rPr>
        <w:t>oška energenata zb</w:t>
      </w:r>
      <w:r w:rsidR="00901730" w:rsidRPr="00A938AC">
        <w:rPr>
          <w:rFonts w:asciiTheme="minorHAnsi" w:hAnsiTheme="minorHAnsi" w:cstheme="minorHAnsi"/>
          <w:color w:val="000000" w:themeColor="text1"/>
        </w:rPr>
        <w:t xml:space="preserve">og toplije </w:t>
      </w:r>
      <w:r w:rsidR="00B13746">
        <w:rPr>
          <w:rFonts w:asciiTheme="minorHAnsi" w:hAnsiTheme="minorHAnsi" w:cstheme="minorHAnsi"/>
          <w:color w:val="000000" w:themeColor="text1"/>
        </w:rPr>
        <w:t>zime</w:t>
      </w:r>
    </w:p>
    <w:p w14:paraId="10610A35" w14:textId="77777777" w:rsidR="00657295" w:rsidRPr="00A938AC" w:rsidRDefault="00657295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76E04764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151FBEFE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RASHODI POSLOVANJA</w:t>
      </w:r>
    </w:p>
    <w:p w14:paraId="7DEECCE5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4D3756FD" w14:textId="343DF54A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</w:t>
      </w:r>
      <w:r w:rsidR="00657295" w:rsidRPr="00A938AC">
        <w:rPr>
          <w:rFonts w:asciiTheme="minorHAnsi" w:hAnsiTheme="minorHAnsi" w:cstheme="minorHAnsi"/>
          <w:color w:val="000000" w:themeColor="text1"/>
        </w:rPr>
        <w:t xml:space="preserve">pni rashodi poslovanja </w:t>
      </w:r>
      <w:r w:rsidR="00B420AB" w:rsidRPr="00A938AC">
        <w:rPr>
          <w:rFonts w:asciiTheme="minorHAnsi" w:hAnsiTheme="minorHAnsi" w:cstheme="minorHAnsi"/>
          <w:color w:val="000000" w:themeColor="text1"/>
        </w:rPr>
        <w:t>u 2023</w:t>
      </w:r>
      <w:r w:rsidRPr="00A938AC">
        <w:rPr>
          <w:rFonts w:asciiTheme="minorHAnsi" w:hAnsiTheme="minorHAnsi" w:cstheme="minorHAnsi"/>
          <w:color w:val="000000" w:themeColor="text1"/>
        </w:rPr>
        <w:t>. godin</w:t>
      </w:r>
      <w:r w:rsidR="00FF0C46" w:rsidRPr="00A938AC">
        <w:rPr>
          <w:rFonts w:asciiTheme="minorHAnsi" w:hAnsiTheme="minorHAnsi" w:cstheme="minorHAnsi"/>
          <w:color w:val="000000" w:themeColor="text1"/>
        </w:rPr>
        <w:t>i</w:t>
      </w:r>
      <w:r w:rsidRPr="00A938AC">
        <w:rPr>
          <w:rFonts w:asciiTheme="minorHAnsi" w:hAnsiTheme="minorHAnsi" w:cstheme="minorHAnsi"/>
          <w:color w:val="000000" w:themeColor="text1"/>
        </w:rPr>
        <w:t xml:space="preserve"> evidentirani su u </w:t>
      </w:r>
      <w:r w:rsidR="00657295" w:rsidRPr="00A938AC">
        <w:rPr>
          <w:rFonts w:asciiTheme="minorHAnsi" w:hAnsiTheme="minorHAnsi" w:cstheme="minorHAnsi"/>
          <w:color w:val="000000" w:themeColor="text1"/>
        </w:rPr>
        <w:t xml:space="preserve">ukupnom iznosu od </w:t>
      </w:r>
      <w:r w:rsidR="00392262">
        <w:rPr>
          <w:rFonts w:asciiTheme="minorHAnsi" w:hAnsiTheme="minorHAnsi" w:cstheme="minorHAnsi"/>
          <w:color w:val="000000" w:themeColor="text1"/>
        </w:rPr>
        <w:t>840</w:t>
      </w:r>
      <w:r w:rsidR="00AD6725">
        <w:rPr>
          <w:rFonts w:asciiTheme="minorHAnsi" w:hAnsiTheme="minorHAnsi" w:cstheme="minorHAnsi"/>
          <w:color w:val="000000" w:themeColor="text1"/>
        </w:rPr>
        <w:t>.</w:t>
      </w:r>
      <w:bookmarkStart w:id="0" w:name="_GoBack"/>
      <w:bookmarkEnd w:id="0"/>
      <w:r w:rsidR="00392262">
        <w:rPr>
          <w:rFonts w:asciiTheme="minorHAnsi" w:hAnsiTheme="minorHAnsi" w:cstheme="minorHAnsi"/>
          <w:color w:val="000000" w:themeColor="text1"/>
        </w:rPr>
        <w:t>846,07</w:t>
      </w:r>
      <w:r w:rsidR="00511756" w:rsidRPr="00A938AC">
        <w:rPr>
          <w:rFonts w:asciiTheme="minorHAnsi" w:hAnsiTheme="minorHAnsi" w:cstheme="minorHAnsi"/>
          <w:color w:val="000000" w:themeColor="text1"/>
        </w:rPr>
        <w:t xml:space="preserve"> EUR</w:t>
      </w:r>
      <w:r w:rsidRPr="00A938AC">
        <w:rPr>
          <w:rFonts w:asciiTheme="minorHAnsi" w:hAnsiTheme="minorHAnsi" w:cstheme="minorHAnsi"/>
          <w:color w:val="000000" w:themeColor="text1"/>
        </w:rPr>
        <w:t xml:space="preserve"> i kao tak</w:t>
      </w:r>
      <w:r w:rsidR="00B420AB" w:rsidRPr="00A938AC">
        <w:rPr>
          <w:rFonts w:asciiTheme="minorHAnsi" w:hAnsiTheme="minorHAnsi" w:cstheme="minorHAnsi"/>
          <w:color w:val="000000" w:themeColor="text1"/>
        </w:rPr>
        <w:t xml:space="preserve">vi predstavljaju povećanje od </w:t>
      </w:r>
      <w:r w:rsidR="00AC5260">
        <w:rPr>
          <w:rFonts w:asciiTheme="minorHAnsi" w:hAnsiTheme="minorHAnsi" w:cstheme="minorHAnsi"/>
          <w:color w:val="000000" w:themeColor="text1"/>
        </w:rPr>
        <w:t>14,3</w:t>
      </w:r>
      <w:r w:rsidRPr="00A938AC">
        <w:rPr>
          <w:rFonts w:asciiTheme="minorHAnsi" w:hAnsiTheme="minorHAnsi" w:cstheme="minorHAnsi"/>
          <w:color w:val="000000" w:themeColor="text1"/>
        </w:rPr>
        <w:t>%</w:t>
      </w:r>
      <w:r w:rsidR="00B420AB" w:rsidRPr="00A938AC">
        <w:rPr>
          <w:rFonts w:asciiTheme="minorHAnsi" w:hAnsiTheme="minorHAnsi" w:cstheme="minorHAnsi"/>
          <w:color w:val="000000" w:themeColor="text1"/>
        </w:rPr>
        <w:t xml:space="preserve"> u odnosu na isto razdoblje 2022</w:t>
      </w:r>
      <w:r w:rsidRPr="00A938AC">
        <w:rPr>
          <w:rFonts w:asciiTheme="minorHAnsi" w:hAnsiTheme="minorHAnsi" w:cstheme="minorHAnsi"/>
          <w:color w:val="000000" w:themeColor="text1"/>
        </w:rPr>
        <w:t>. godine. Razlozi povećanja rashoda detaljnije su opisani  u nastavku kroz analizi pojedinih stavki rashoda.</w:t>
      </w:r>
    </w:p>
    <w:p w14:paraId="5F111408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2D3A54DE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31D699F2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31 – Rashodi za zaposlene</w:t>
      </w:r>
    </w:p>
    <w:p w14:paraId="10DCB5D4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7E38427B" w14:textId="59A563D3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Ukupni rashodi un</w:t>
      </w:r>
      <w:r w:rsidR="00657295" w:rsidRPr="00A938AC">
        <w:rPr>
          <w:rFonts w:asciiTheme="minorHAnsi" w:hAnsiTheme="minorHAnsi" w:cstheme="minorHAnsi"/>
          <w:color w:val="000000" w:themeColor="text1"/>
        </w:rPr>
        <w:t>utar 31 razreda u razdoblju I-</w:t>
      </w:r>
      <w:r w:rsidR="00572468" w:rsidRPr="00A938AC">
        <w:rPr>
          <w:rFonts w:asciiTheme="minorHAnsi" w:hAnsiTheme="minorHAnsi" w:cstheme="minorHAnsi"/>
          <w:color w:val="000000" w:themeColor="text1"/>
        </w:rPr>
        <w:t>XI</w:t>
      </w:r>
      <w:r w:rsidR="000A3504" w:rsidRPr="00A938AC">
        <w:rPr>
          <w:rFonts w:asciiTheme="minorHAnsi" w:hAnsiTheme="minorHAnsi" w:cstheme="minorHAnsi"/>
          <w:color w:val="000000" w:themeColor="text1"/>
        </w:rPr>
        <w:t>I</w:t>
      </w:r>
      <w:r w:rsidRPr="00A938AC">
        <w:rPr>
          <w:rFonts w:asciiTheme="minorHAnsi" w:hAnsiTheme="minorHAnsi" w:cstheme="minorHAnsi"/>
          <w:color w:val="000000" w:themeColor="text1"/>
        </w:rPr>
        <w:t xml:space="preserve"> 202</w:t>
      </w:r>
      <w:r w:rsidR="00B420AB" w:rsidRPr="00A938AC">
        <w:rPr>
          <w:rFonts w:asciiTheme="minorHAnsi" w:hAnsiTheme="minorHAnsi" w:cstheme="minorHAnsi"/>
          <w:color w:val="000000" w:themeColor="text1"/>
        </w:rPr>
        <w:t>3</w:t>
      </w:r>
      <w:r w:rsidRPr="00A938AC">
        <w:rPr>
          <w:rFonts w:asciiTheme="minorHAnsi" w:hAnsiTheme="minorHAnsi" w:cstheme="minorHAnsi"/>
          <w:color w:val="000000" w:themeColor="text1"/>
        </w:rPr>
        <w:t xml:space="preserve">. iznose </w:t>
      </w:r>
      <w:r w:rsidR="007F1B92">
        <w:rPr>
          <w:rFonts w:asciiTheme="minorHAnsi" w:hAnsiTheme="minorHAnsi" w:cstheme="minorHAnsi"/>
          <w:color w:val="000000" w:themeColor="text1"/>
        </w:rPr>
        <w:t>676.404,57</w:t>
      </w:r>
      <w:r w:rsidR="00B420AB" w:rsidRPr="00A938AC">
        <w:rPr>
          <w:rFonts w:asciiTheme="minorHAnsi" w:hAnsiTheme="minorHAnsi" w:cstheme="minorHAnsi"/>
          <w:color w:val="000000" w:themeColor="text1"/>
        </w:rPr>
        <w:t xml:space="preserve"> EUR</w:t>
      </w:r>
      <w:r w:rsidRPr="00A938AC">
        <w:rPr>
          <w:rFonts w:asciiTheme="minorHAnsi" w:hAnsiTheme="minorHAnsi" w:cstheme="minorHAnsi"/>
          <w:color w:val="000000" w:themeColor="text1"/>
        </w:rPr>
        <w:t xml:space="preserve"> te su</w:t>
      </w:r>
      <w:r w:rsidR="00B420AB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A83521" w:rsidRPr="00A938AC">
        <w:rPr>
          <w:rFonts w:asciiTheme="minorHAnsi" w:hAnsiTheme="minorHAnsi" w:cstheme="minorHAnsi"/>
          <w:color w:val="000000" w:themeColor="text1"/>
        </w:rPr>
        <w:t>povećani</w:t>
      </w:r>
      <w:r w:rsidRPr="00A938AC">
        <w:rPr>
          <w:rFonts w:asciiTheme="minorHAnsi" w:hAnsiTheme="minorHAnsi" w:cstheme="minorHAnsi"/>
          <w:color w:val="000000" w:themeColor="text1"/>
        </w:rPr>
        <w:t xml:space="preserve"> za </w:t>
      </w:r>
      <w:r w:rsidR="007F1B92">
        <w:rPr>
          <w:rFonts w:asciiTheme="minorHAnsi" w:hAnsiTheme="minorHAnsi" w:cstheme="minorHAnsi"/>
          <w:color w:val="000000" w:themeColor="text1"/>
        </w:rPr>
        <w:t>10,3</w:t>
      </w:r>
      <w:r w:rsidRPr="00A938AC">
        <w:rPr>
          <w:rFonts w:asciiTheme="minorHAnsi" w:hAnsiTheme="minorHAnsi" w:cstheme="minorHAnsi"/>
          <w:color w:val="000000" w:themeColor="text1"/>
        </w:rPr>
        <w:t xml:space="preserve"> % u odnosu na isto razdoblje 202</w:t>
      </w:r>
      <w:r w:rsidR="00B420AB" w:rsidRPr="00A938AC">
        <w:rPr>
          <w:rFonts w:asciiTheme="minorHAnsi" w:hAnsiTheme="minorHAnsi" w:cstheme="minorHAnsi"/>
          <w:color w:val="000000" w:themeColor="text1"/>
        </w:rPr>
        <w:t>2</w:t>
      </w:r>
      <w:r w:rsidRPr="00A938AC">
        <w:rPr>
          <w:rFonts w:asciiTheme="minorHAnsi" w:hAnsiTheme="minorHAnsi" w:cstheme="minorHAnsi"/>
          <w:color w:val="000000" w:themeColor="text1"/>
        </w:rPr>
        <w:t>. godine.</w:t>
      </w:r>
    </w:p>
    <w:p w14:paraId="7E6F59D4" w14:textId="0354A3B0" w:rsidR="00FC5BD0" w:rsidRPr="00A938AC" w:rsidRDefault="00B420AB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 2023. godin</w:t>
      </w:r>
      <w:r w:rsidR="00B513D7">
        <w:rPr>
          <w:rFonts w:asciiTheme="minorHAnsi" w:hAnsiTheme="minorHAnsi" w:cstheme="minorHAnsi"/>
          <w:color w:val="000000" w:themeColor="text1"/>
        </w:rPr>
        <w:t>i</w:t>
      </w:r>
      <w:r w:rsidRPr="00A938AC">
        <w:rPr>
          <w:rFonts w:asciiTheme="minorHAnsi" w:hAnsiTheme="minorHAnsi" w:cstheme="minorHAnsi"/>
          <w:color w:val="000000" w:themeColor="text1"/>
        </w:rPr>
        <w:t xml:space="preserve"> došlo </w:t>
      </w:r>
      <w:r w:rsidR="00B513D7">
        <w:rPr>
          <w:rFonts w:asciiTheme="minorHAnsi" w:hAnsiTheme="minorHAnsi" w:cstheme="minorHAnsi"/>
          <w:color w:val="000000" w:themeColor="text1"/>
        </w:rPr>
        <w:t xml:space="preserve">je </w:t>
      </w:r>
      <w:r w:rsidRPr="00A938AC">
        <w:rPr>
          <w:rFonts w:asciiTheme="minorHAnsi" w:hAnsiTheme="minorHAnsi" w:cstheme="minorHAnsi"/>
          <w:color w:val="000000" w:themeColor="text1"/>
        </w:rPr>
        <w:t>do realnog povećanja troškova plaća</w:t>
      </w:r>
      <w:r w:rsidR="008136CC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FC5BD0" w:rsidRPr="00A938AC">
        <w:rPr>
          <w:rFonts w:asciiTheme="minorHAnsi" w:hAnsiTheme="minorHAnsi" w:cstheme="minorHAnsi"/>
          <w:color w:val="000000" w:themeColor="text1"/>
        </w:rPr>
        <w:t>djelatnicima koje su u promatranom razdoblju porasle temeljem novog kolektivnog ugovora potpisanog između sindikata i ministarstva</w:t>
      </w:r>
      <w:r w:rsidR="00A65869" w:rsidRPr="00A938AC">
        <w:rPr>
          <w:rFonts w:asciiTheme="minorHAnsi" w:hAnsiTheme="minorHAnsi" w:cstheme="minorHAnsi"/>
          <w:color w:val="000000" w:themeColor="text1"/>
        </w:rPr>
        <w:t xml:space="preserve">, </w:t>
      </w:r>
      <w:r w:rsidR="00FC5BD0" w:rsidRPr="00A938AC">
        <w:rPr>
          <w:rFonts w:asciiTheme="minorHAnsi" w:hAnsiTheme="minorHAnsi" w:cstheme="minorHAnsi"/>
          <w:color w:val="000000" w:themeColor="text1"/>
        </w:rPr>
        <w:t xml:space="preserve">povećana </w:t>
      </w:r>
      <w:r w:rsidR="00A65869" w:rsidRPr="00A938AC">
        <w:rPr>
          <w:rFonts w:asciiTheme="minorHAnsi" w:hAnsiTheme="minorHAnsi" w:cstheme="minorHAnsi"/>
          <w:color w:val="000000" w:themeColor="text1"/>
        </w:rPr>
        <w:t xml:space="preserve">je </w:t>
      </w:r>
      <w:r w:rsidR="00FC5BD0" w:rsidRPr="00A938AC">
        <w:rPr>
          <w:rFonts w:asciiTheme="minorHAnsi" w:hAnsiTheme="minorHAnsi" w:cstheme="minorHAnsi"/>
          <w:color w:val="000000" w:themeColor="text1"/>
        </w:rPr>
        <w:t>osnovica</w:t>
      </w:r>
      <w:r w:rsidR="00A65869" w:rsidRPr="00A938AC">
        <w:rPr>
          <w:rFonts w:asciiTheme="minorHAnsi" w:hAnsiTheme="minorHAnsi" w:cstheme="minorHAnsi"/>
          <w:color w:val="000000" w:themeColor="text1"/>
        </w:rPr>
        <w:t xml:space="preserve"> za</w:t>
      </w:r>
      <w:r w:rsidR="00FC5BD0" w:rsidRPr="00A938AC">
        <w:rPr>
          <w:rFonts w:asciiTheme="minorHAnsi" w:hAnsiTheme="minorHAnsi" w:cstheme="minorHAnsi"/>
          <w:color w:val="000000" w:themeColor="text1"/>
        </w:rPr>
        <w:t xml:space="preserve"> izračun primanja djelatnicima osnovnoškolskih ustanova kao i pojedina materijalna prava. </w:t>
      </w:r>
    </w:p>
    <w:p w14:paraId="10D62323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13BB08F9" w14:textId="77777777" w:rsidR="00E54E6A" w:rsidRPr="00A938AC" w:rsidRDefault="00E54E6A" w:rsidP="00FC5BD0">
      <w:pPr>
        <w:pStyle w:val="Standard"/>
        <w:rPr>
          <w:rFonts w:asciiTheme="minorHAnsi" w:hAnsiTheme="minorHAnsi" w:cstheme="minorHAnsi"/>
          <w:color w:val="FF0000"/>
        </w:rPr>
      </w:pPr>
    </w:p>
    <w:p w14:paraId="020EB8C8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32 – Materijalni rashodi</w:t>
      </w:r>
    </w:p>
    <w:p w14:paraId="09D37394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10059A9C" w14:textId="3F4C4889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Ukupni rashodi un</w:t>
      </w:r>
      <w:r w:rsidR="00B420AB" w:rsidRPr="00A938AC">
        <w:rPr>
          <w:rFonts w:asciiTheme="minorHAnsi" w:hAnsiTheme="minorHAnsi" w:cstheme="minorHAnsi"/>
          <w:color w:val="000000" w:themeColor="text1"/>
        </w:rPr>
        <w:t>utar 32 razreda u razdoblju I-</w:t>
      </w:r>
      <w:r w:rsidR="008136CC" w:rsidRPr="00A938AC">
        <w:rPr>
          <w:rFonts w:asciiTheme="minorHAnsi" w:hAnsiTheme="minorHAnsi" w:cstheme="minorHAnsi"/>
          <w:color w:val="000000" w:themeColor="text1"/>
        </w:rPr>
        <w:t>X</w:t>
      </w:r>
      <w:r w:rsidR="001936D9" w:rsidRPr="00A938AC">
        <w:rPr>
          <w:rFonts w:asciiTheme="minorHAnsi" w:hAnsiTheme="minorHAnsi" w:cstheme="minorHAnsi"/>
          <w:color w:val="000000" w:themeColor="text1"/>
        </w:rPr>
        <w:t>II</w:t>
      </w:r>
      <w:r w:rsidR="00B420AB" w:rsidRPr="00A938AC">
        <w:rPr>
          <w:rFonts w:asciiTheme="minorHAnsi" w:hAnsiTheme="minorHAnsi" w:cstheme="minorHAnsi"/>
          <w:color w:val="000000" w:themeColor="text1"/>
        </w:rPr>
        <w:t xml:space="preserve"> 2023</w:t>
      </w:r>
      <w:r w:rsidRPr="00A938AC">
        <w:rPr>
          <w:rFonts w:asciiTheme="minorHAnsi" w:hAnsiTheme="minorHAnsi" w:cstheme="minorHAnsi"/>
          <w:color w:val="000000" w:themeColor="text1"/>
        </w:rPr>
        <w:t xml:space="preserve">. iznose </w:t>
      </w:r>
      <w:r w:rsidR="00AC5260">
        <w:rPr>
          <w:rFonts w:asciiTheme="minorHAnsi" w:hAnsiTheme="minorHAnsi" w:cstheme="minorHAnsi"/>
          <w:color w:val="000000" w:themeColor="text1"/>
        </w:rPr>
        <w:t>150.131,63</w:t>
      </w:r>
      <w:r w:rsidR="00B420AB" w:rsidRPr="00A938AC">
        <w:rPr>
          <w:rFonts w:asciiTheme="minorHAnsi" w:hAnsiTheme="minorHAnsi" w:cstheme="minorHAnsi"/>
          <w:color w:val="000000" w:themeColor="text1"/>
        </w:rPr>
        <w:t xml:space="preserve"> EUR</w:t>
      </w:r>
      <w:r w:rsidRPr="00A938AC">
        <w:rPr>
          <w:rFonts w:asciiTheme="minorHAnsi" w:hAnsiTheme="minorHAnsi" w:cstheme="minorHAnsi"/>
          <w:color w:val="000000" w:themeColor="text1"/>
        </w:rPr>
        <w:t xml:space="preserve"> te su povećani za </w:t>
      </w:r>
      <w:r w:rsidR="00AC5260">
        <w:rPr>
          <w:rFonts w:asciiTheme="minorHAnsi" w:hAnsiTheme="minorHAnsi" w:cstheme="minorHAnsi"/>
          <w:color w:val="000000" w:themeColor="text1"/>
        </w:rPr>
        <w:t>39,8</w:t>
      </w:r>
      <w:r w:rsidRPr="00A938AC">
        <w:rPr>
          <w:rFonts w:asciiTheme="minorHAnsi" w:hAnsiTheme="minorHAnsi" w:cstheme="minorHAnsi"/>
          <w:color w:val="000000" w:themeColor="text1"/>
        </w:rPr>
        <w:t xml:space="preserve"> % u odnosu na isto razdoblje 202</w:t>
      </w:r>
      <w:r w:rsidR="00B420AB" w:rsidRPr="00A938AC">
        <w:rPr>
          <w:rFonts w:asciiTheme="minorHAnsi" w:hAnsiTheme="minorHAnsi" w:cstheme="minorHAnsi"/>
          <w:color w:val="000000" w:themeColor="text1"/>
        </w:rPr>
        <w:t>2</w:t>
      </w:r>
      <w:r w:rsidRPr="00A938AC">
        <w:rPr>
          <w:rFonts w:asciiTheme="minorHAnsi" w:hAnsiTheme="minorHAnsi" w:cstheme="minorHAnsi"/>
          <w:color w:val="000000" w:themeColor="text1"/>
        </w:rPr>
        <w:t>. godine.</w:t>
      </w:r>
    </w:p>
    <w:p w14:paraId="420912BA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71203FC6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Povećani rashodi unutar razreda 32 najviše se odnose na:</w:t>
      </w:r>
    </w:p>
    <w:p w14:paraId="133197D7" w14:textId="7C5A4A7A" w:rsidR="00FC5BD0" w:rsidRPr="00A938AC" w:rsidRDefault="00FC5BD0" w:rsidP="00C33E3C">
      <w:pPr>
        <w:pStyle w:val="Standar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 xml:space="preserve">povećanje troškova </w:t>
      </w:r>
      <w:r w:rsidR="00C33E3C">
        <w:rPr>
          <w:rFonts w:asciiTheme="minorHAnsi" w:hAnsiTheme="minorHAnsi" w:cstheme="minorHAnsi"/>
          <w:color w:val="000000" w:themeColor="text1"/>
        </w:rPr>
        <w:t>tekućeg i investicijskog održavanja koje je drastično raslo zbog štete na školi nakon olujnog nevrijemena</w:t>
      </w:r>
    </w:p>
    <w:p w14:paraId="3DE4E4A3" w14:textId="30D1FC77" w:rsidR="0099460F" w:rsidRPr="00A938AC" w:rsidRDefault="0099460F" w:rsidP="00FC5BD0">
      <w:pPr>
        <w:pStyle w:val="Standar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rasta cijene energenata (električna energija i loživo ulje)</w:t>
      </w:r>
    </w:p>
    <w:p w14:paraId="01F734D5" w14:textId="118F51FA" w:rsidR="00FC5BD0" w:rsidRDefault="00C33E3C" w:rsidP="00C33E3C">
      <w:pPr>
        <w:pStyle w:val="Standar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dodatno ulaganje u inventar kuhinje</w:t>
      </w:r>
    </w:p>
    <w:p w14:paraId="4248ACF3" w14:textId="1E935FA2" w:rsidR="00C33E3C" w:rsidRDefault="00C33E3C" w:rsidP="00C33E3C">
      <w:pPr>
        <w:pStyle w:val="Standar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službena putovanja</w:t>
      </w:r>
    </w:p>
    <w:p w14:paraId="53A8E613" w14:textId="77777777" w:rsidR="00C33E3C" w:rsidRPr="00A938AC" w:rsidRDefault="00C33E3C" w:rsidP="00C33E3C">
      <w:pPr>
        <w:pStyle w:val="Standard"/>
        <w:ind w:left="720"/>
        <w:rPr>
          <w:rFonts w:asciiTheme="minorHAnsi" w:hAnsiTheme="minorHAnsi" w:cstheme="minorHAnsi"/>
          <w:color w:val="000000" w:themeColor="text1"/>
        </w:rPr>
      </w:pPr>
    </w:p>
    <w:p w14:paraId="03B26F74" w14:textId="003D2582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 istom razdoblju zabilježeni su smanjeni rashodi u razredu 32 na stavkama:</w:t>
      </w:r>
    </w:p>
    <w:p w14:paraId="44D4AE03" w14:textId="78E8DB57" w:rsidR="008136CC" w:rsidRPr="00A938AC" w:rsidRDefault="008136CC" w:rsidP="00FC5BD0">
      <w:pPr>
        <w:pStyle w:val="Standard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 xml:space="preserve">smanjenje </w:t>
      </w:r>
      <w:r w:rsidR="00C33E3C">
        <w:rPr>
          <w:rFonts w:asciiTheme="minorHAnsi" w:hAnsiTheme="minorHAnsi" w:cstheme="minorHAnsi"/>
          <w:color w:val="000000" w:themeColor="text1"/>
        </w:rPr>
        <w:t>zdravstvene i veterinarske naknade jer je testiranje djelatnika ukinuto</w:t>
      </w:r>
    </w:p>
    <w:p w14:paraId="6F6A5EBA" w14:textId="2E892B31" w:rsidR="00FC5BD0" w:rsidRPr="00A938AC" w:rsidRDefault="00C33E3C" w:rsidP="00FC5BD0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smanjenje usluge promidžbe i informiranja</w:t>
      </w:r>
    </w:p>
    <w:p w14:paraId="2AA2D9B9" w14:textId="4203C375" w:rsidR="00FC5BD0" w:rsidRPr="00A938AC" w:rsidRDefault="00C33E3C" w:rsidP="00FC5BD0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niži troškovi računalnih usluga</w:t>
      </w:r>
    </w:p>
    <w:p w14:paraId="4487570A" w14:textId="77777777" w:rsidR="00FC5BD0" w:rsidRPr="00A938AC" w:rsidRDefault="00FC5BD0" w:rsidP="00FC5BD0">
      <w:pPr>
        <w:pStyle w:val="Standard"/>
        <w:ind w:left="720"/>
        <w:rPr>
          <w:rFonts w:asciiTheme="minorHAnsi" w:hAnsiTheme="minorHAnsi" w:cstheme="minorHAnsi"/>
          <w:color w:val="FF0000"/>
        </w:rPr>
      </w:pPr>
    </w:p>
    <w:p w14:paraId="1722E364" w14:textId="77777777" w:rsidR="00FC5BD0" w:rsidRPr="00A938AC" w:rsidRDefault="00FC5BD0" w:rsidP="00FC5BD0">
      <w:pPr>
        <w:pStyle w:val="Standard"/>
        <w:ind w:left="720"/>
        <w:rPr>
          <w:rFonts w:asciiTheme="minorHAnsi" w:hAnsiTheme="minorHAnsi" w:cstheme="minorHAnsi"/>
          <w:color w:val="FF0000"/>
        </w:rPr>
      </w:pPr>
    </w:p>
    <w:p w14:paraId="307A351E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34 – Financijski rashodi</w:t>
      </w:r>
    </w:p>
    <w:p w14:paraId="5B5485CE" w14:textId="77777777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549E1BBB" w14:textId="5180DC03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Ukupni rashodi un</w:t>
      </w:r>
      <w:r w:rsidR="0099460F" w:rsidRPr="00A938AC">
        <w:rPr>
          <w:rFonts w:asciiTheme="minorHAnsi" w:hAnsiTheme="minorHAnsi" w:cstheme="minorHAnsi"/>
          <w:color w:val="000000" w:themeColor="text1"/>
        </w:rPr>
        <w:t>utar 34 razreda u razdoblju I-</w:t>
      </w:r>
      <w:r w:rsidR="00626CB9" w:rsidRPr="00A938AC">
        <w:rPr>
          <w:rFonts w:asciiTheme="minorHAnsi" w:hAnsiTheme="minorHAnsi" w:cstheme="minorHAnsi"/>
          <w:color w:val="000000" w:themeColor="text1"/>
        </w:rPr>
        <w:t>X</w:t>
      </w:r>
      <w:r w:rsidR="00B572E5" w:rsidRPr="00A938AC">
        <w:rPr>
          <w:rFonts w:asciiTheme="minorHAnsi" w:hAnsiTheme="minorHAnsi" w:cstheme="minorHAnsi"/>
          <w:color w:val="000000" w:themeColor="text1"/>
        </w:rPr>
        <w:t>II</w:t>
      </w:r>
      <w:r w:rsidR="0099460F" w:rsidRPr="00A938AC">
        <w:rPr>
          <w:rFonts w:asciiTheme="minorHAnsi" w:hAnsiTheme="minorHAnsi" w:cstheme="minorHAnsi"/>
          <w:color w:val="000000" w:themeColor="text1"/>
        </w:rPr>
        <w:t xml:space="preserve"> 2023</w:t>
      </w:r>
      <w:r w:rsidRPr="00A938AC">
        <w:rPr>
          <w:rFonts w:asciiTheme="minorHAnsi" w:hAnsiTheme="minorHAnsi" w:cstheme="minorHAnsi"/>
          <w:color w:val="000000" w:themeColor="text1"/>
        </w:rPr>
        <w:t xml:space="preserve">. iznose </w:t>
      </w:r>
      <w:r w:rsidR="00C33E3C">
        <w:rPr>
          <w:rFonts w:asciiTheme="minorHAnsi" w:hAnsiTheme="minorHAnsi" w:cstheme="minorHAnsi"/>
          <w:color w:val="000000" w:themeColor="text1"/>
        </w:rPr>
        <w:t>417,61</w:t>
      </w:r>
      <w:r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99460F" w:rsidRPr="00A938AC">
        <w:rPr>
          <w:rFonts w:asciiTheme="minorHAnsi" w:hAnsiTheme="minorHAnsi" w:cstheme="minorHAnsi"/>
          <w:color w:val="000000" w:themeColor="text1"/>
        </w:rPr>
        <w:t>EUR</w:t>
      </w:r>
      <w:r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626CB9" w:rsidRPr="00A938AC">
        <w:rPr>
          <w:rFonts w:asciiTheme="minorHAnsi" w:hAnsiTheme="minorHAnsi" w:cstheme="minorHAnsi"/>
          <w:color w:val="000000" w:themeColor="text1"/>
        </w:rPr>
        <w:t xml:space="preserve">te su </w:t>
      </w:r>
      <w:r w:rsidR="00C33E3C">
        <w:rPr>
          <w:rFonts w:asciiTheme="minorHAnsi" w:hAnsiTheme="minorHAnsi" w:cstheme="minorHAnsi"/>
          <w:color w:val="000000" w:themeColor="text1"/>
        </w:rPr>
        <w:t>povećani za</w:t>
      </w:r>
      <w:r w:rsidR="00626CB9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C33E3C">
        <w:rPr>
          <w:rFonts w:asciiTheme="minorHAnsi" w:hAnsiTheme="minorHAnsi" w:cstheme="minorHAnsi"/>
          <w:color w:val="000000" w:themeColor="text1"/>
        </w:rPr>
        <w:t>6,5</w:t>
      </w:r>
      <w:r w:rsidR="0099460F" w:rsidRPr="00A938AC">
        <w:rPr>
          <w:rFonts w:asciiTheme="minorHAnsi" w:hAnsiTheme="minorHAnsi" w:cstheme="minorHAnsi"/>
          <w:color w:val="000000" w:themeColor="text1"/>
        </w:rPr>
        <w:t xml:space="preserve">% </w:t>
      </w:r>
      <w:r w:rsidR="00C73C60" w:rsidRPr="00A938AC">
        <w:rPr>
          <w:rFonts w:asciiTheme="minorHAnsi" w:hAnsiTheme="minorHAnsi" w:cstheme="minorHAnsi"/>
          <w:color w:val="000000" w:themeColor="text1"/>
        </w:rPr>
        <w:t>u odnosu na isto razdoblje 2022</w:t>
      </w:r>
      <w:r w:rsidRPr="00A938AC">
        <w:rPr>
          <w:rFonts w:asciiTheme="minorHAnsi" w:hAnsiTheme="minorHAnsi" w:cstheme="minorHAnsi"/>
          <w:color w:val="000000" w:themeColor="text1"/>
        </w:rPr>
        <w:t xml:space="preserve">. godine kada su iznosili </w:t>
      </w:r>
      <w:r w:rsidR="00C33E3C">
        <w:rPr>
          <w:rFonts w:asciiTheme="minorHAnsi" w:hAnsiTheme="minorHAnsi" w:cstheme="minorHAnsi"/>
          <w:color w:val="000000" w:themeColor="text1"/>
        </w:rPr>
        <w:t>391,96</w:t>
      </w:r>
      <w:r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99460F" w:rsidRPr="00A938AC">
        <w:rPr>
          <w:rFonts w:asciiTheme="minorHAnsi" w:hAnsiTheme="minorHAnsi" w:cstheme="minorHAnsi"/>
          <w:color w:val="000000" w:themeColor="text1"/>
        </w:rPr>
        <w:t>EUR</w:t>
      </w:r>
      <w:r w:rsidR="00C459E5" w:rsidRPr="00A938AC">
        <w:rPr>
          <w:rFonts w:asciiTheme="minorHAnsi" w:hAnsiTheme="minorHAnsi" w:cstheme="minorHAnsi"/>
          <w:color w:val="000000" w:themeColor="text1"/>
        </w:rPr>
        <w:t>.</w:t>
      </w:r>
    </w:p>
    <w:p w14:paraId="509AC45A" w14:textId="3AE7BB1D" w:rsidR="00FC5BD0" w:rsidRPr="00A938AC" w:rsidRDefault="00FC5BD0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 xml:space="preserve">Razlog </w:t>
      </w:r>
      <w:r w:rsidR="00C33E3C">
        <w:rPr>
          <w:rFonts w:asciiTheme="minorHAnsi" w:hAnsiTheme="minorHAnsi" w:cstheme="minorHAnsi"/>
          <w:color w:val="000000" w:themeColor="text1"/>
        </w:rPr>
        <w:t>povećanja</w:t>
      </w:r>
      <w:r w:rsidRPr="00A938AC">
        <w:rPr>
          <w:rFonts w:asciiTheme="minorHAnsi" w:hAnsiTheme="minorHAnsi" w:cstheme="minorHAnsi"/>
          <w:color w:val="000000" w:themeColor="text1"/>
        </w:rPr>
        <w:t xml:space="preserve"> financijskih rashod</w:t>
      </w:r>
      <w:r w:rsidR="00C73C60" w:rsidRPr="00A938AC">
        <w:rPr>
          <w:rFonts w:asciiTheme="minorHAnsi" w:hAnsiTheme="minorHAnsi" w:cstheme="minorHAnsi"/>
          <w:color w:val="000000" w:themeColor="text1"/>
        </w:rPr>
        <w:t>a</w:t>
      </w:r>
      <w:r w:rsidRPr="00A938AC">
        <w:rPr>
          <w:rFonts w:asciiTheme="minorHAnsi" w:hAnsiTheme="minorHAnsi" w:cstheme="minorHAnsi"/>
          <w:color w:val="000000" w:themeColor="text1"/>
        </w:rPr>
        <w:t xml:space="preserve"> vezan je uz </w:t>
      </w:r>
      <w:r w:rsidR="00C33E3C">
        <w:rPr>
          <w:rFonts w:asciiTheme="minorHAnsi" w:hAnsiTheme="minorHAnsi" w:cstheme="minorHAnsi"/>
          <w:color w:val="000000" w:themeColor="text1"/>
        </w:rPr>
        <w:t>rast naknada bankama i zateznim kamatama.</w:t>
      </w:r>
    </w:p>
    <w:p w14:paraId="5D45AF27" w14:textId="77777777" w:rsidR="00DC5661" w:rsidRPr="00A938AC" w:rsidRDefault="00DC5661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0354C3BB" w14:textId="77777777" w:rsidR="00C35639" w:rsidRPr="00A938AC" w:rsidRDefault="00C35639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794C4B71" w14:textId="0F1B426A" w:rsidR="00DC5661" w:rsidRPr="00A938AC" w:rsidRDefault="00C35639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PRIHODI I RASHODI OD NEFINANCIJSKE IMOVINE</w:t>
      </w:r>
    </w:p>
    <w:p w14:paraId="7AD2DFF3" w14:textId="77777777" w:rsidR="006F53F7" w:rsidRPr="00A938AC" w:rsidRDefault="006F53F7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6E63163D" w14:textId="7D89DA1D" w:rsidR="00C35639" w:rsidRPr="00A938AC" w:rsidRDefault="00C35639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proofErr w:type="spellStart"/>
      <w:r w:rsidRPr="00A938AC">
        <w:rPr>
          <w:rFonts w:asciiTheme="minorHAnsi" w:hAnsiTheme="minorHAnsi" w:cstheme="minorHAnsi"/>
          <w:color w:val="000000" w:themeColor="text1"/>
        </w:rPr>
        <w:t>Oš</w:t>
      </w:r>
      <w:proofErr w:type="spellEnd"/>
      <w:r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57304A">
        <w:rPr>
          <w:rFonts w:asciiTheme="minorHAnsi" w:hAnsiTheme="minorHAnsi" w:cstheme="minorHAnsi"/>
          <w:color w:val="000000" w:themeColor="text1"/>
        </w:rPr>
        <w:t>Gradište</w:t>
      </w:r>
      <w:r w:rsidRPr="00A938AC">
        <w:rPr>
          <w:rFonts w:asciiTheme="minorHAnsi" w:hAnsiTheme="minorHAnsi" w:cstheme="minorHAnsi"/>
          <w:color w:val="000000" w:themeColor="text1"/>
        </w:rPr>
        <w:t xml:space="preserve"> u razdoblju</w:t>
      </w:r>
      <w:r w:rsidR="006F53F7" w:rsidRPr="00A938AC">
        <w:rPr>
          <w:rFonts w:asciiTheme="minorHAnsi" w:hAnsiTheme="minorHAnsi" w:cstheme="minorHAnsi"/>
          <w:color w:val="000000" w:themeColor="text1"/>
        </w:rPr>
        <w:t xml:space="preserve"> I-XII 2023.</w:t>
      </w:r>
      <w:r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57304A">
        <w:rPr>
          <w:rFonts w:asciiTheme="minorHAnsi" w:hAnsiTheme="minorHAnsi" w:cstheme="minorHAnsi"/>
          <w:color w:val="000000" w:themeColor="text1"/>
        </w:rPr>
        <w:t xml:space="preserve">nije </w:t>
      </w:r>
      <w:r w:rsidRPr="00A938AC">
        <w:rPr>
          <w:rFonts w:asciiTheme="minorHAnsi" w:hAnsiTheme="minorHAnsi" w:cstheme="minorHAnsi"/>
          <w:color w:val="000000" w:themeColor="text1"/>
        </w:rPr>
        <w:t>zabilježila</w:t>
      </w:r>
      <w:r w:rsidR="006F53F7" w:rsidRPr="00A938AC">
        <w:rPr>
          <w:rFonts w:asciiTheme="minorHAnsi" w:hAnsiTheme="minorHAnsi" w:cstheme="minorHAnsi"/>
          <w:color w:val="000000" w:themeColor="text1"/>
        </w:rPr>
        <w:t xml:space="preserve"> prihode od nefinancijske imovine dok su u istom razdoblju zabilježeni rashodi u iznosu od </w:t>
      </w:r>
      <w:r w:rsidR="0057304A">
        <w:rPr>
          <w:rFonts w:asciiTheme="minorHAnsi" w:hAnsiTheme="minorHAnsi" w:cstheme="minorHAnsi"/>
          <w:color w:val="000000" w:themeColor="text1"/>
        </w:rPr>
        <w:t>19.560,68</w:t>
      </w:r>
      <w:r w:rsidR="003A7909" w:rsidRPr="00A938AC">
        <w:rPr>
          <w:rFonts w:asciiTheme="minorHAnsi" w:hAnsiTheme="minorHAnsi" w:cstheme="minorHAnsi"/>
          <w:color w:val="000000" w:themeColor="text1"/>
        </w:rPr>
        <w:t xml:space="preserve"> EUR a odnose se na sljedeće:</w:t>
      </w:r>
    </w:p>
    <w:p w14:paraId="0DF085C9" w14:textId="77777777" w:rsidR="003A7909" w:rsidRPr="00A938AC" w:rsidRDefault="003A7909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589A0655" w14:textId="77777777" w:rsidR="00DB559D" w:rsidRPr="00A938AC" w:rsidRDefault="00DB559D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16E30E48" w14:textId="312E1DAA" w:rsidR="003A7909" w:rsidRPr="00A938AC" w:rsidRDefault="001F4BD3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A938AC">
        <w:rPr>
          <w:rFonts w:asciiTheme="minorHAnsi" w:hAnsiTheme="minorHAnsi" w:cstheme="minorHAnsi"/>
          <w:b/>
          <w:bCs/>
          <w:color w:val="000000" w:themeColor="text1"/>
        </w:rPr>
        <w:t>42 – Rashodi za nabavu proizvedene dugotrajne imovine</w:t>
      </w:r>
    </w:p>
    <w:p w14:paraId="3BEAB040" w14:textId="77777777" w:rsidR="00A41BDB" w:rsidRPr="00A938AC" w:rsidRDefault="00A41BDB" w:rsidP="00FC5BD0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0892C009" w14:textId="52C65609" w:rsidR="00DB559D" w:rsidRPr="00A938AC" w:rsidRDefault="00A41BDB" w:rsidP="00FC5BD0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A938AC">
        <w:rPr>
          <w:rFonts w:asciiTheme="minorHAnsi" w:hAnsiTheme="minorHAnsi" w:cstheme="minorHAnsi"/>
          <w:color w:val="000000" w:themeColor="text1"/>
        </w:rPr>
        <w:t>Rashodi za nabavu proizvedene dugot</w:t>
      </w:r>
      <w:r w:rsidR="0057304A">
        <w:rPr>
          <w:rFonts w:asciiTheme="minorHAnsi" w:hAnsiTheme="minorHAnsi" w:cstheme="minorHAnsi"/>
          <w:color w:val="000000" w:themeColor="text1"/>
        </w:rPr>
        <w:t>r</w:t>
      </w:r>
      <w:r w:rsidRPr="00A938AC">
        <w:rPr>
          <w:rFonts w:asciiTheme="minorHAnsi" w:hAnsiTheme="minorHAnsi" w:cstheme="minorHAnsi"/>
          <w:color w:val="000000" w:themeColor="text1"/>
        </w:rPr>
        <w:t xml:space="preserve">ajne imovine iznosili su </w:t>
      </w:r>
      <w:r w:rsidR="0057304A">
        <w:rPr>
          <w:rFonts w:asciiTheme="minorHAnsi" w:hAnsiTheme="minorHAnsi" w:cstheme="minorHAnsi"/>
          <w:color w:val="000000" w:themeColor="text1"/>
        </w:rPr>
        <w:t>19.560,68 EUR i pred</w:t>
      </w:r>
      <w:r w:rsidR="00CE0363" w:rsidRPr="00A938AC">
        <w:rPr>
          <w:rFonts w:asciiTheme="minorHAnsi" w:hAnsiTheme="minorHAnsi" w:cstheme="minorHAnsi"/>
          <w:color w:val="000000" w:themeColor="text1"/>
        </w:rPr>
        <w:t xml:space="preserve">stavljaju </w:t>
      </w:r>
      <w:r w:rsidR="0057304A">
        <w:rPr>
          <w:rFonts w:asciiTheme="minorHAnsi" w:hAnsiTheme="minorHAnsi" w:cstheme="minorHAnsi"/>
          <w:color w:val="000000" w:themeColor="text1"/>
        </w:rPr>
        <w:t>smanjenje</w:t>
      </w:r>
      <w:r w:rsidR="00CE0363" w:rsidRPr="00A938AC">
        <w:rPr>
          <w:rFonts w:asciiTheme="minorHAnsi" w:hAnsiTheme="minorHAnsi" w:cstheme="minorHAnsi"/>
          <w:color w:val="000000" w:themeColor="text1"/>
        </w:rPr>
        <w:t xml:space="preserve"> od </w:t>
      </w:r>
      <w:r w:rsidR="0057304A">
        <w:rPr>
          <w:rFonts w:asciiTheme="minorHAnsi" w:hAnsiTheme="minorHAnsi" w:cstheme="minorHAnsi"/>
          <w:color w:val="000000" w:themeColor="text1"/>
        </w:rPr>
        <w:t>45,5</w:t>
      </w:r>
      <w:r w:rsidR="00B67B1B" w:rsidRPr="00A938AC">
        <w:rPr>
          <w:rFonts w:asciiTheme="minorHAnsi" w:hAnsiTheme="minorHAnsi" w:cstheme="minorHAnsi"/>
          <w:color w:val="000000" w:themeColor="text1"/>
        </w:rPr>
        <w:t>%</w:t>
      </w:r>
      <w:r w:rsidR="006E093A" w:rsidRPr="00A938AC">
        <w:rPr>
          <w:rFonts w:asciiTheme="minorHAnsi" w:hAnsiTheme="minorHAnsi" w:cstheme="minorHAnsi"/>
          <w:color w:val="000000" w:themeColor="text1"/>
        </w:rPr>
        <w:t xml:space="preserve"> u odnosu na 2022. godinu. Do </w:t>
      </w:r>
      <w:r w:rsidR="00D57FD8">
        <w:rPr>
          <w:rFonts w:asciiTheme="minorHAnsi" w:hAnsiTheme="minorHAnsi" w:cstheme="minorHAnsi"/>
          <w:color w:val="000000" w:themeColor="text1"/>
        </w:rPr>
        <w:t>smanjenja</w:t>
      </w:r>
      <w:r w:rsidR="006E093A" w:rsidRPr="00A938AC">
        <w:rPr>
          <w:rFonts w:asciiTheme="minorHAnsi" w:hAnsiTheme="minorHAnsi" w:cstheme="minorHAnsi"/>
          <w:color w:val="000000" w:themeColor="text1"/>
        </w:rPr>
        <w:t xml:space="preserve"> </w:t>
      </w:r>
      <w:r w:rsidR="00BF1A4A" w:rsidRPr="00A938AC">
        <w:rPr>
          <w:rFonts w:asciiTheme="minorHAnsi" w:hAnsiTheme="minorHAnsi" w:cstheme="minorHAnsi"/>
          <w:color w:val="000000" w:themeColor="text1"/>
        </w:rPr>
        <w:t xml:space="preserve">rashoda došlo je </w:t>
      </w:r>
      <w:r w:rsidR="00D57FD8">
        <w:rPr>
          <w:rFonts w:asciiTheme="minorHAnsi" w:hAnsiTheme="minorHAnsi" w:cstheme="minorHAnsi"/>
          <w:color w:val="000000" w:themeColor="text1"/>
        </w:rPr>
        <w:t>zbog manjeg ulaganja u imovinu.</w:t>
      </w:r>
    </w:p>
    <w:p w14:paraId="30F761AA" w14:textId="77777777" w:rsidR="00025E6B" w:rsidRPr="00A938AC" w:rsidRDefault="00025E6B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1A9C21E1" w14:textId="77777777" w:rsidR="00025E6B" w:rsidRPr="00A938AC" w:rsidRDefault="00025E6B" w:rsidP="00FC5BD0">
      <w:pPr>
        <w:pStyle w:val="Standard"/>
        <w:rPr>
          <w:rFonts w:asciiTheme="minorHAnsi" w:hAnsiTheme="minorHAnsi" w:cstheme="minorHAnsi"/>
          <w:color w:val="000000" w:themeColor="text1"/>
        </w:rPr>
      </w:pPr>
    </w:p>
    <w:p w14:paraId="51AEE1E8" w14:textId="039E3A35" w:rsidR="00D05674" w:rsidRDefault="00D05674" w:rsidP="00D05674">
      <w:pPr>
        <w:spacing w:after="0"/>
        <w:jc w:val="center"/>
        <w:rPr>
          <w:rFonts w:cstheme="minorHAnsi"/>
          <w:b/>
          <w:sz w:val="32"/>
          <w:szCs w:val="32"/>
        </w:rPr>
      </w:pPr>
      <w:r w:rsidRPr="00A938AC">
        <w:rPr>
          <w:rFonts w:cstheme="minorHAnsi"/>
          <w:b/>
          <w:sz w:val="32"/>
          <w:szCs w:val="32"/>
        </w:rPr>
        <w:t>Bilješke uz bilancu</w:t>
      </w:r>
    </w:p>
    <w:p w14:paraId="40DCFB51" w14:textId="77777777" w:rsidR="007D62C5" w:rsidRPr="00A938AC" w:rsidRDefault="007D62C5" w:rsidP="00D05674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3E796C8" w14:textId="1639772F" w:rsidR="00D05674" w:rsidRDefault="00A938AC" w:rsidP="00A938A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Ukupna imovina </w:t>
      </w:r>
      <w:r w:rsidR="007D62C5">
        <w:rPr>
          <w:rFonts w:cstheme="minorHAnsi"/>
          <w:bCs/>
          <w:sz w:val="24"/>
          <w:szCs w:val="24"/>
        </w:rPr>
        <w:t>školske ustanove na kra</w:t>
      </w:r>
      <w:r w:rsidR="00D57FD8">
        <w:rPr>
          <w:rFonts w:cstheme="minorHAnsi"/>
          <w:bCs/>
          <w:sz w:val="24"/>
          <w:szCs w:val="24"/>
        </w:rPr>
        <w:t>j</w:t>
      </w:r>
      <w:r w:rsidR="007D62C5">
        <w:rPr>
          <w:rFonts w:cstheme="minorHAnsi"/>
          <w:bCs/>
          <w:sz w:val="24"/>
          <w:szCs w:val="24"/>
        </w:rPr>
        <w:t>u 2023. godine</w:t>
      </w:r>
      <w:r w:rsidR="004D1EF7">
        <w:rPr>
          <w:rFonts w:cstheme="minorHAnsi"/>
          <w:bCs/>
          <w:sz w:val="24"/>
          <w:szCs w:val="24"/>
        </w:rPr>
        <w:t xml:space="preserve"> iznosila je </w:t>
      </w:r>
      <w:r w:rsidR="00D57FD8">
        <w:rPr>
          <w:rFonts w:cstheme="minorHAnsi"/>
          <w:bCs/>
          <w:sz w:val="24"/>
          <w:szCs w:val="24"/>
        </w:rPr>
        <w:t>1.</w:t>
      </w:r>
      <w:r w:rsidR="00AC5260">
        <w:rPr>
          <w:rFonts w:cstheme="minorHAnsi"/>
          <w:bCs/>
          <w:sz w:val="24"/>
          <w:szCs w:val="24"/>
        </w:rPr>
        <w:t>933.033,46</w:t>
      </w:r>
      <w:r w:rsidR="0055778B">
        <w:rPr>
          <w:rFonts w:cstheme="minorHAnsi"/>
          <w:bCs/>
          <w:sz w:val="24"/>
          <w:szCs w:val="24"/>
        </w:rPr>
        <w:t xml:space="preserve"> EUR</w:t>
      </w:r>
      <w:r w:rsidR="00F05780">
        <w:rPr>
          <w:rFonts w:cstheme="minorHAnsi"/>
          <w:bCs/>
          <w:sz w:val="24"/>
          <w:szCs w:val="24"/>
        </w:rPr>
        <w:t>.</w:t>
      </w:r>
    </w:p>
    <w:p w14:paraId="668D141B" w14:textId="77777777" w:rsidR="00F05780" w:rsidRDefault="00F05780" w:rsidP="00A938AC">
      <w:pPr>
        <w:spacing w:after="0"/>
        <w:rPr>
          <w:rFonts w:cstheme="minorHAnsi"/>
          <w:bCs/>
          <w:sz w:val="24"/>
          <w:szCs w:val="24"/>
        </w:rPr>
      </w:pPr>
    </w:p>
    <w:p w14:paraId="0CD7DF92" w14:textId="0E7B4F14" w:rsidR="00F05780" w:rsidRDefault="00F05780" w:rsidP="00A938A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Nefinancijska imovina na kraju 2023. godine iznosila je </w:t>
      </w:r>
      <w:r w:rsidR="00D57FD8">
        <w:rPr>
          <w:rFonts w:cstheme="minorHAnsi"/>
          <w:bCs/>
          <w:sz w:val="24"/>
          <w:szCs w:val="24"/>
        </w:rPr>
        <w:t>1.827.531,34</w:t>
      </w:r>
      <w:r>
        <w:rPr>
          <w:rFonts w:cstheme="minorHAnsi"/>
          <w:bCs/>
          <w:sz w:val="24"/>
          <w:szCs w:val="24"/>
        </w:rPr>
        <w:t xml:space="preserve"> EUR te se </w:t>
      </w:r>
      <w:r w:rsidR="00D57FD8">
        <w:rPr>
          <w:rFonts w:cstheme="minorHAnsi"/>
          <w:bCs/>
          <w:sz w:val="24"/>
          <w:szCs w:val="24"/>
        </w:rPr>
        <w:t xml:space="preserve">smanjila za </w:t>
      </w:r>
      <w:r>
        <w:rPr>
          <w:rFonts w:cstheme="minorHAnsi"/>
          <w:bCs/>
          <w:sz w:val="24"/>
          <w:szCs w:val="24"/>
        </w:rPr>
        <w:t xml:space="preserve"> </w:t>
      </w:r>
      <w:r w:rsidR="00A85411">
        <w:rPr>
          <w:rFonts w:cstheme="minorHAnsi"/>
          <w:bCs/>
          <w:sz w:val="24"/>
          <w:szCs w:val="24"/>
        </w:rPr>
        <w:t>2,3</w:t>
      </w:r>
      <w:r w:rsidR="0021777C">
        <w:rPr>
          <w:rFonts w:cstheme="minorHAnsi"/>
          <w:bCs/>
          <w:sz w:val="24"/>
          <w:szCs w:val="24"/>
        </w:rPr>
        <w:t xml:space="preserve">% u odnosu na 2022. godinu. </w:t>
      </w:r>
      <w:r w:rsidR="00A85411">
        <w:rPr>
          <w:rFonts w:cstheme="minorHAnsi"/>
          <w:bCs/>
          <w:sz w:val="24"/>
          <w:szCs w:val="24"/>
        </w:rPr>
        <w:t>Dodatna ulaganja u imovinu stopirana su uslijed nastale štete od nevrijemena</w:t>
      </w:r>
      <w:r w:rsidR="00053A51">
        <w:rPr>
          <w:rFonts w:cstheme="minorHAnsi"/>
          <w:bCs/>
          <w:sz w:val="24"/>
          <w:szCs w:val="24"/>
        </w:rPr>
        <w:t xml:space="preserve">. </w:t>
      </w:r>
    </w:p>
    <w:p w14:paraId="4C2F1D70" w14:textId="77777777" w:rsidR="00C57C87" w:rsidRDefault="00C57C87" w:rsidP="00A938AC">
      <w:pPr>
        <w:spacing w:after="0"/>
        <w:rPr>
          <w:rFonts w:cstheme="minorHAnsi"/>
          <w:bCs/>
          <w:sz w:val="24"/>
          <w:szCs w:val="24"/>
        </w:rPr>
      </w:pPr>
    </w:p>
    <w:p w14:paraId="169CD420" w14:textId="5D68EA5D" w:rsidR="00C57C87" w:rsidRDefault="00C57C87" w:rsidP="00A938A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Financijska imovina </w:t>
      </w:r>
      <w:r w:rsidR="0051400D">
        <w:rPr>
          <w:rFonts w:cstheme="minorHAnsi"/>
          <w:bCs/>
          <w:sz w:val="24"/>
          <w:szCs w:val="24"/>
        </w:rPr>
        <w:t xml:space="preserve">se u 2023. godini </w:t>
      </w:r>
      <w:r w:rsidR="00A85411">
        <w:rPr>
          <w:rFonts w:cstheme="minorHAnsi"/>
          <w:bCs/>
          <w:sz w:val="24"/>
          <w:szCs w:val="24"/>
        </w:rPr>
        <w:t>povećala</w:t>
      </w:r>
      <w:r w:rsidR="0051400D">
        <w:rPr>
          <w:rFonts w:cstheme="minorHAnsi"/>
          <w:bCs/>
          <w:sz w:val="24"/>
          <w:szCs w:val="24"/>
        </w:rPr>
        <w:t xml:space="preserve"> u odnosu na 2022. godinu </w:t>
      </w:r>
      <w:r w:rsidR="0086683A">
        <w:rPr>
          <w:rFonts w:cstheme="minorHAnsi"/>
          <w:bCs/>
          <w:sz w:val="24"/>
          <w:szCs w:val="24"/>
        </w:rPr>
        <w:t xml:space="preserve">sa </w:t>
      </w:r>
      <w:r w:rsidR="00A85411">
        <w:rPr>
          <w:rFonts w:cstheme="minorHAnsi"/>
          <w:bCs/>
          <w:sz w:val="24"/>
          <w:szCs w:val="24"/>
        </w:rPr>
        <w:t>73.211,96</w:t>
      </w:r>
      <w:r w:rsidR="0086683A">
        <w:rPr>
          <w:rFonts w:cstheme="minorHAnsi"/>
          <w:bCs/>
          <w:sz w:val="24"/>
          <w:szCs w:val="24"/>
        </w:rPr>
        <w:t xml:space="preserve"> EUR na </w:t>
      </w:r>
      <w:r w:rsidR="00A85411">
        <w:rPr>
          <w:rFonts w:cstheme="minorHAnsi"/>
          <w:bCs/>
          <w:sz w:val="24"/>
          <w:szCs w:val="24"/>
        </w:rPr>
        <w:t>105.502,12</w:t>
      </w:r>
      <w:r w:rsidR="003A5649">
        <w:rPr>
          <w:rFonts w:cstheme="minorHAnsi"/>
          <w:bCs/>
          <w:sz w:val="24"/>
          <w:szCs w:val="24"/>
        </w:rPr>
        <w:t xml:space="preserve"> EUR </w:t>
      </w:r>
      <w:r w:rsidR="00EA5726">
        <w:rPr>
          <w:rFonts w:cstheme="minorHAnsi"/>
          <w:bCs/>
          <w:sz w:val="24"/>
          <w:szCs w:val="24"/>
        </w:rPr>
        <w:t xml:space="preserve">zbog </w:t>
      </w:r>
      <w:r w:rsidR="00A85411">
        <w:rPr>
          <w:rFonts w:cstheme="minorHAnsi"/>
          <w:bCs/>
          <w:sz w:val="24"/>
          <w:szCs w:val="24"/>
        </w:rPr>
        <w:t>sredstava za sanaciju štete i STEM projekta.</w:t>
      </w:r>
    </w:p>
    <w:p w14:paraId="03B79843" w14:textId="77777777" w:rsidR="00BF4E89" w:rsidRDefault="00BF4E89" w:rsidP="00A938AC">
      <w:pPr>
        <w:spacing w:after="0"/>
        <w:rPr>
          <w:rFonts w:cstheme="minorHAnsi"/>
          <w:bCs/>
          <w:sz w:val="24"/>
          <w:szCs w:val="24"/>
        </w:rPr>
      </w:pPr>
    </w:p>
    <w:p w14:paraId="2EEF9AB7" w14:textId="0C71F2E6" w:rsidR="00BF4E89" w:rsidRDefault="00BF4E89" w:rsidP="00A938A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Obveze na kraju izvještajnog razdoblja su iznosile</w:t>
      </w:r>
      <w:r w:rsidR="00C316CC">
        <w:rPr>
          <w:rFonts w:cstheme="minorHAnsi"/>
          <w:bCs/>
          <w:sz w:val="24"/>
          <w:szCs w:val="24"/>
        </w:rPr>
        <w:t xml:space="preserve"> </w:t>
      </w:r>
      <w:r w:rsidR="00AC5260">
        <w:rPr>
          <w:rFonts w:cstheme="minorHAnsi"/>
          <w:bCs/>
          <w:sz w:val="24"/>
          <w:szCs w:val="24"/>
        </w:rPr>
        <w:t>84.683,67</w:t>
      </w:r>
      <w:r w:rsidR="00C316CC">
        <w:rPr>
          <w:rFonts w:cstheme="minorHAnsi"/>
          <w:bCs/>
          <w:sz w:val="24"/>
          <w:szCs w:val="24"/>
        </w:rPr>
        <w:t xml:space="preserve"> EUR a odnose se na nedospjele račune izdane krajem prethodne godine koji će biti plać</w:t>
      </w:r>
      <w:r w:rsidR="00E0450E">
        <w:rPr>
          <w:rFonts w:cstheme="minorHAnsi"/>
          <w:bCs/>
          <w:sz w:val="24"/>
          <w:szCs w:val="24"/>
        </w:rPr>
        <w:t>e</w:t>
      </w:r>
      <w:r w:rsidR="00C316CC">
        <w:rPr>
          <w:rFonts w:cstheme="minorHAnsi"/>
          <w:bCs/>
          <w:sz w:val="24"/>
          <w:szCs w:val="24"/>
        </w:rPr>
        <w:t xml:space="preserve">ni tijekom siječnja </w:t>
      </w:r>
      <w:r w:rsidR="00E0450E">
        <w:rPr>
          <w:rFonts w:cstheme="minorHAnsi"/>
          <w:bCs/>
          <w:sz w:val="24"/>
          <w:szCs w:val="24"/>
        </w:rPr>
        <w:t xml:space="preserve">i veljače </w:t>
      </w:r>
      <w:r w:rsidR="00C316CC">
        <w:rPr>
          <w:rFonts w:cstheme="minorHAnsi"/>
          <w:bCs/>
          <w:sz w:val="24"/>
          <w:szCs w:val="24"/>
        </w:rPr>
        <w:t>2024. godine</w:t>
      </w:r>
      <w:r w:rsidR="00E0450E">
        <w:rPr>
          <w:rFonts w:cstheme="minorHAnsi"/>
          <w:bCs/>
          <w:sz w:val="24"/>
          <w:szCs w:val="24"/>
        </w:rPr>
        <w:t>, a odnose se na određene projekte kao i sanacije koje nisu dospjele</w:t>
      </w:r>
      <w:r w:rsidR="00C316CC">
        <w:rPr>
          <w:rFonts w:cstheme="minorHAnsi"/>
          <w:bCs/>
          <w:sz w:val="24"/>
          <w:szCs w:val="24"/>
        </w:rPr>
        <w:t>.</w:t>
      </w:r>
    </w:p>
    <w:p w14:paraId="7DE2EBC5" w14:textId="66275B6C" w:rsidR="008D7A2E" w:rsidRDefault="008D7A2E" w:rsidP="00A938AC">
      <w:pPr>
        <w:spacing w:after="0"/>
        <w:rPr>
          <w:rFonts w:cstheme="minorHAnsi"/>
          <w:bCs/>
          <w:sz w:val="24"/>
          <w:szCs w:val="24"/>
        </w:rPr>
      </w:pPr>
    </w:p>
    <w:p w14:paraId="0EEB31B4" w14:textId="3B4196DF" w:rsidR="008D7A2E" w:rsidRDefault="008D7A2E" w:rsidP="00A938AC">
      <w:pPr>
        <w:spacing w:after="0"/>
        <w:rPr>
          <w:rFonts w:cstheme="minorHAnsi"/>
          <w:bCs/>
          <w:sz w:val="24"/>
          <w:szCs w:val="24"/>
        </w:rPr>
      </w:pPr>
    </w:p>
    <w:p w14:paraId="5E45B2D1" w14:textId="77777777" w:rsidR="008D7A2E" w:rsidRDefault="008D7A2E" w:rsidP="00A938AC">
      <w:pPr>
        <w:spacing w:after="0"/>
        <w:rPr>
          <w:rFonts w:cstheme="minorHAnsi"/>
          <w:bCs/>
          <w:sz w:val="24"/>
          <w:szCs w:val="24"/>
        </w:rPr>
      </w:pPr>
    </w:p>
    <w:p w14:paraId="4586C81D" w14:textId="77777777" w:rsidR="008D7A2E" w:rsidRPr="00A938AC" w:rsidRDefault="008D7A2E" w:rsidP="00A938AC">
      <w:pPr>
        <w:spacing w:after="0"/>
        <w:rPr>
          <w:rFonts w:cstheme="minorHAnsi"/>
          <w:bCs/>
          <w:sz w:val="24"/>
          <w:szCs w:val="24"/>
        </w:rPr>
      </w:pPr>
    </w:p>
    <w:p w14:paraId="5C6B8E5B" w14:textId="3DA74E77" w:rsidR="00FC5BD0" w:rsidRDefault="008D7A2E" w:rsidP="008D7A2E">
      <w:pPr>
        <w:spacing w:after="0"/>
        <w:jc w:val="center"/>
        <w:rPr>
          <w:rFonts w:cstheme="minorHAnsi"/>
          <w:b/>
          <w:sz w:val="32"/>
          <w:szCs w:val="32"/>
        </w:rPr>
      </w:pPr>
      <w:r w:rsidRPr="00A938AC">
        <w:rPr>
          <w:rFonts w:cstheme="minorHAnsi"/>
          <w:b/>
          <w:sz w:val="32"/>
          <w:szCs w:val="32"/>
        </w:rPr>
        <w:t xml:space="preserve">Bilješke uz </w:t>
      </w:r>
      <w:r>
        <w:rPr>
          <w:rFonts w:cstheme="minorHAnsi"/>
          <w:b/>
          <w:sz w:val="32"/>
          <w:szCs w:val="32"/>
        </w:rPr>
        <w:t>Izvještaj o promjenama u vrijednosti i obujmu imovine i obveza</w:t>
      </w:r>
    </w:p>
    <w:p w14:paraId="567A0FB5" w14:textId="01B8BCF1" w:rsidR="008D7A2E" w:rsidRDefault="008D7A2E" w:rsidP="008D7A2E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273510F7" w14:textId="64EAC44B" w:rsidR="008D7A2E" w:rsidRDefault="008D7A2E" w:rsidP="008D7A2E">
      <w:pPr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Tijekom 2023. godine došlo je do promjena u obujmu imovine</w:t>
      </w:r>
      <w:r w:rsidR="00623CC8">
        <w:rPr>
          <w:rFonts w:cstheme="minorHAnsi"/>
          <w:sz w:val="24"/>
          <w:szCs w:val="32"/>
        </w:rPr>
        <w:t xml:space="preserve"> i to</w:t>
      </w:r>
      <w:r>
        <w:rPr>
          <w:rFonts w:cstheme="minorHAnsi"/>
          <w:sz w:val="24"/>
          <w:szCs w:val="32"/>
        </w:rPr>
        <w:t>:</w:t>
      </w:r>
    </w:p>
    <w:p w14:paraId="7318A572" w14:textId="45F6B605" w:rsidR="008D7A2E" w:rsidRDefault="008D7A2E" w:rsidP="008D7A2E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povećanja proizvedene dugotrajne imovine i sitnog inventara </w:t>
      </w:r>
      <w:r w:rsidR="00623CC8">
        <w:rPr>
          <w:rFonts w:cstheme="minorHAnsi"/>
          <w:sz w:val="24"/>
          <w:szCs w:val="32"/>
        </w:rPr>
        <w:t xml:space="preserve">u iznosu od </w:t>
      </w:r>
      <w:r w:rsidR="00E0450E">
        <w:rPr>
          <w:rFonts w:cstheme="minorHAnsi"/>
          <w:sz w:val="24"/>
          <w:szCs w:val="32"/>
        </w:rPr>
        <w:t>581,32</w:t>
      </w:r>
      <w:r w:rsidR="00623CC8">
        <w:rPr>
          <w:rFonts w:cstheme="minorHAnsi"/>
          <w:sz w:val="24"/>
          <w:szCs w:val="32"/>
        </w:rPr>
        <w:t xml:space="preserve"> EUR </w:t>
      </w:r>
      <w:r>
        <w:rPr>
          <w:rFonts w:cstheme="minorHAnsi"/>
          <w:sz w:val="24"/>
          <w:szCs w:val="32"/>
        </w:rPr>
        <w:t xml:space="preserve">zbog nabave </w:t>
      </w:r>
      <w:r w:rsidR="00623CC8">
        <w:rPr>
          <w:rFonts w:cstheme="minorHAnsi"/>
          <w:sz w:val="24"/>
          <w:szCs w:val="32"/>
        </w:rPr>
        <w:t>novih kuhinjskih uređaja, rekonstrukcije sustava centralnog grijanja u školi i nabavke klima uređaja. Predmetna ulaganja financirana su djelom iz razvojnih fondova, djelom iz pomoći osnivača te djelom iz vlastitih sredstava.</w:t>
      </w:r>
    </w:p>
    <w:p w14:paraId="3520C7B8" w14:textId="6B3D7EE7" w:rsidR="00623CC8" w:rsidRDefault="00623CC8" w:rsidP="008D7A2E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smanjenja novca u banci i blagajni u iznosu 16.746,75 EUR zbog ulaganja u nabavu proizvodne dugotrajne imovine</w:t>
      </w:r>
    </w:p>
    <w:p w14:paraId="313A4DA5" w14:textId="301013D8" w:rsidR="00623CC8" w:rsidRDefault="00623CC8" w:rsidP="00623CC8">
      <w:pPr>
        <w:spacing w:after="0"/>
        <w:rPr>
          <w:rFonts w:cstheme="minorHAnsi"/>
          <w:sz w:val="24"/>
          <w:szCs w:val="32"/>
        </w:rPr>
      </w:pPr>
    </w:p>
    <w:p w14:paraId="73D61052" w14:textId="52FFE666" w:rsidR="00623CC8" w:rsidRDefault="00623CC8" w:rsidP="00623CC8">
      <w:pPr>
        <w:spacing w:after="0"/>
        <w:jc w:val="center"/>
        <w:rPr>
          <w:rFonts w:cstheme="minorHAnsi"/>
          <w:b/>
          <w:sz w:val="32"/>
          <w:szCs w:val="32"/>
        </w:rPr>
      </w:pPr>
      <w:r w:rsidRPr="00623CC8">
        <w:rPr>
          <w:rFonts w:cstheme="minorHAnsi"/>
          <w:b/>
          <w:sz w:val="32"/>
          <w:szCs w:val="32"/>
        </w:rPr>
        <w:t>Bilješke uz Izvješta</w:t>
      </w:r>
      <w:r>
        <w:rPr>
          <w:rFonts w:cstheme="minorHAnsi"/>
          <w:b/>
          <w:sz w:val="32"/>
          <w:szCs w:val="32"/>
        </w:rPr>
        <w:t>j</w:t>
      </w:r>
      <w:r w:rsidRPr="00623CC8">
        <w:rPr>
          <w:rFonts w:cstheme="minorHAnsi"/>
          <w:b/>
          <w:sz w:val="32"/>
          <w:szCs w:val="32"/>
        </w:rPr>
        <w:t xml:space="preserve"> o obvezama</w:t>
      </w:r>
    </w:p>
    <w:p w14:paraId="21749E78" w14:textId="11F025C8" w:rsidR="00623CC8" w:rsidRDefault="00623CC8" w:rsidP="00623CC8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4E633DF" w14:textId="4D127930" w:rsidR="00623CC8" w:rsidRDefault="00623CC8" w:rsidP="00623CC8">
      <w:pPr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U 2023. godinu preneseni iznos obveza bio je </w:t>
      </w:r>
      <w:r w:rsidR="00AC5260">
        <w:rPr>
          <w:rFonts w:cstheme="minorHAnsi"/>
          <w:sz w:val="24"/>
          <w:szCs w:val="32"/>
        </w:rPr>
        <w:t>71.944,98</w:t>
      </w:r>
      <w:r>
        <w:rPr>
          <w:rFonts w:cstheme="minorHAnsi"/>
          <w:sz w:val="24"/>
          <w:szCs w:val="32"/>
        </w:rPr>
        <w:t xml:space="preserve"> EUR te se odnosi na obveze za neplaćene račune izdane tijekom 12-tog mjeseca 2022. godine te su iste plaćene u cijelosti u siječnju </w:t>
      </w:r>
      <w:r w:rsidR="00AC5260">
        <w:rPr>
          <w:rFonts w:cstheme="minorHAnsi"/>
          <w:sz w:val="24"/>
          <w:szCs w:val="32"/>
        </w:rPr>
        <w:t xml:space="preserve">i veljači </w:t>
      </w:r>
      <w:r>
        <w:rPr>
          <w:rFonts w:cstheme="minorHAnsi"/>
          <w:sz w:val="24"/>
          <w:szCs w:val="32"/>
        </w:rPr>
        <w:t>2023. godine.</w:t>
      </w:r>
    </w:p>
    <w:p w14:paraId="405DE0F5" w14:textId="0EAD829D" w:rsidR="00623CC8" w:rsidRPr="00623CC8" w:rsidRDefault="00623CC8" w:rsidP="00623CC8">
      <w:pPr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Na kraju razdoblja iznos obveza je </w:t>
      </w:r>
      <w:r w:rsidR="00AC5260">
        <w:rPr>
          <w:rFonts w:cstheme="minorHAnsi"/>
          <w:sz w:val="24"/>
          <w:szCs w:val="32"/>
        </w:rPr>
        <w:t>84.683,67</w:t>
      </w:r>
      <w:r>
        <w:rPr>
          <w:rFonts w:cstheme="minorHAnsi"/>
          <w:sz w:val="24"/>
          <w:szCs w:val="32"/>
        </w:rPr>
        <w:t xml:space="preserve"> EUR koje se odnose na obveze nastale u zadnjim danim 2023. godine i biti će podmirene u siječnju </w:t>
      </w:r>
      <w:r w:rsidR="00AC5260">
        <w:rPr>
          <w:rFonts w:cstheme="minorHAnsi"/>
          <w:sz w:val="24"/>
          <w:szCs w:val="32"/>
        </w:rPr>
        <w:t xml:space="preserve">i veljači </w:t>
      </w:r>
      <w:r>
        <w:rPr>
          <w:rFonts w:cstheme="minorHAnsi"/>
          <w:sz w:val="24"/>
          <w:szCs w:val="32"/>
        </w:rPr>
        <w:t>2024. godine.</w:t>
      </w:r>
    </w:p>
    <w:p w14:paraId="0C0EA45C" w14:textId="77777777" w:rsidR="008D7A2E" w:rsidRDefault="008D7A2E" w:rsidP="008D7A2E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0A3946F" w14:textId="77777777" w:rsidR="008D7A2E" w:rsidRPr="00A938AC" w:rsidRDefault="008D7A2E" w:rsidP="008D7A2E">
      <w:pPr>
        <w:spacing w:after="0"/>
        <w:jc w:val="center"/>
        <w:rPr>
          <w:rFonts w:cstheme="minorHAnsi"/>
          <w:color w:val="FF0000"/>
          <w:sz w:val="32"/>
          <w:szCs w:val="32"/>
        </w:rPr>
      </w:pPr>
    </w:p>
    <w:p w14:paraId="254114D9" w14:textId="77777777" w:rsidR="00304159" w:rsidRPr="00A938AC" w:rsidRDefault="00304159" w:rsidP="00B53D45">
      <w:pPr>
        <w:rPr>
          <w:rFonts w:cstheme="minorHAnsi"/>
          <w:color w:val="000000" w:themeColor="text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2553" w:rsidRPr="00A938AC" w14:paraId="18886F5E" w14:textId="77777777" w:rsidTr="008D1CE8">
        <w:tc>
          <w:tcPr>
            <w:tcW w:w="4644" w:type="dxa"/>
          </w:tcPr>
          <w:p w14:paraId="4CC98FDD" w14:textId="77777777" w:rsidR="00747910" w:rsidRPr="00A938AC" w:rsidRDefault="00747910" w:rsidP="00B53D45">
            <w:pPr>
              <w:rPr>
                <w:rFonts w:cstheme="minorHAnsi"/>
                <w:color w:val="000000" w:themeColor="text1"/>
              </w:rPr>
            </w:pPr>
            <w:r w:rsidRPr="00A938AC">
              <w:rPr>
                <w:rFonts w:cstheme="minorHAnsi"/>
                <w:color w:val="000000" w:themeColor="text1"/>
              </w:rPr>
              <w:t>Voditelj računovodstva:</w:t>
            </w:r>
          </w:p>
        </w:tc>
        <w:tc>
          <w:tcPr>
            <w:tcW w:w="4644" w:type="dxa"/>
          </w:tcPr>
          <w:p w14:paraId="6BA0F29D" w14:textId="77777777" w:rsidR="00747910" w:rsidRPr="00A938AC" w:rsidRDefault="00747910" w:rsidP="00747910">
            <w:pPr>
              <w:rPr>
                <w:rFonts w:cstheme="minorHAnsi"/>
                <w:color w:val="000000" w:themeColor="text1"/>
              </w:rPr>
            </w:pPr>
            <w:r w:rsidRPr="00A938AC">
              <w:rPr>
                <w:rFonts w:cstheme="minorHAnsi"/>
                <w:color w:val="000000" w:themeColor="text1"/>
              </w:rPr>
              <w:t>Ravnatelj:</w:t>
            </w:r>
          </w:p>
        </w:tc>
      </w:tr>
      <w:tr w:rsidR="00472553" w:rsidRPr="00A938AC" w14:paraId="3690BC8E" w14:textId="77777777" w:rsidTr="008D1CE8">
        <w:tc>
          <w:tcPr>
            <w:tcW w:w="4644" w:type="dxa"/>
          </w:tcPr>
          <w:p w14:paraId="45252637" w14:textId="77777777" w:rsidR="008D1CE8" w:rsidRPr="00A938AC" w:rsidRDefault="008D1CE8" w:rsidP="00B53D45">
            <w:pPr>
              <w:rPr>
                <w:rFonts w:cstheme="minorHAnsi"/>
                <w:color w:val="000000" w:themeColor="text1"/>
              </w:rPr>
            </w:pPr>
          </w:p>
          <w:p w14:paraId="3D37E73E" w14:textId="77777777" w:rsidR="00747910" w:rsidRPr="00A938AC" w:rsidRDefault="008D1CE8" w:rsidP="00B53D45">
            <w:pPr>
              <w:rPr>
                <w:rFonts w:cstheme="minorHAnsi"/>
                <w:color w:val="000000" w:themeColor="text1"/>
              </w:rPr>
            </w:pPr>
            <w:r w:rsidRPr="00A938AC">
              <w:rPr>
                <w:rFonts w:cstheme="minorHAnsi"/>
                <w:color w:val="000000" w:themeColor="text1"/>
              </w:rPr>
              <w:t>_________________________</w:t>
            </w:r>
          </w:p>
        </w:tc>
        <w:tc>
          <w:tcPr>
            <w:tcW w:w="4644" w:type="dxa"/>
          </w:tcPr>
          <w:p w14:paraId="24AF1881" w14:textId="77777777" w:rsidR="008D1CE8" w:rsidRPr="00A938AC" w:rsidRDefault="008D1CE8" w:rsidP="00B53D45">
            <w:pPr>
              <w:rPr>
                <w:rFonts w:cstheme="minorHAnsi"/>
                <w:color w:val="000000" w:themeColor="text1"/>
              </w:rPr>
            </w:pPr>
          </w:p>
          <w:p w14:paraId="6C4BE4AD" w14:textId="77777777" w:rsidR="00747910" w:rsidRPr="00A938AC" w:rsidRDefault="008D1CE8" w:rsidP="00B53D45">
            <w:pPr>
              <w:rPr>
                <w:rFonts w:cstheme="minorHAnsi"/>
                <w:color w:val="000000" w:themeColor="text1"/>
              </w:rPr>
            </w:pPr>
            <w:r w:rsidRPr="00A938AC">
              <w:rPr>
                <w:rFonts w:cstheme="minorHAnsi"/>
                <w:color w:val="000000" w:themeColor="text1"/>
              </w:rPr>
              <w:t>_________________________</w:t>
            </w:r>
          </w:p>
        </w:tc>
      </w:tr>
    </w:tbl>
    <w:p w14:paraId="699E693A" w14:textId="77777777" w:rsidR="00B53D45" w:rsidRDefault="00B53D45" w:rsidP="00B53D45"/>
    <w:sectPr w:rsidR="00B5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40"/>
    <w:multiLevelType w:val="hybridMultilevel"/>
    <w:tmpl w:val="99B0635A"/>
    <w:lvl w:ilvl="0" w:tplc="990CC8E6">
      <w:start w:val="67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4F8D"/>
    <w:multiLevelType w:val="hybridMultilevel"/>
    <w:tmpl w:val="6C94DD7E"/>
    <w:lvl w:ilvl="0" w:tplc="199E0E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0E64"/>
    <w:multiLevelType w:val="hybridMultilevel"/>
    <w:tmpl w:val="B57E4250"/>
    <w:lvl w:ilvl="0" w:tplc="D18A12A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F8D"/>
    <w:multiLevelType w:val="hybridMultilevel"/>
    <w:tmpl w:val="23E678C6"/>
    <w:lvl w:ilvl="0" w:tplc="D18A12A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45"/>
    <w:rsid w:val="00013D1D"/>
    <w:rsid w:val="00020DE1"/>
    <w:rsid w:val="00025E6B"/>
    <w:rsid w:val="000357C1"/>
    <w:rsid w:val="00051993"/>
    <w:rsid w:val="00053A51"/>
    <w:rsid w:val="00081E08"/>
    <w:rsid w:val="00087534"/>
    <w:rsid w:val="000A0EA5"/>
    <w:rsid w:val="000A3504"/>
    <w:rsid w:val="000D45FC"/>
    <w:rsid w:val="00134BA4"/>
    <w:rsid w:val="00174E01"/>
    <w:rsid w:val="001864CB"/>
    <w:rsid w:val="001936D9"/>
    <w:rsid w:val="001B23E9"/>
    <w:rsid w:val="001C43BA"/>
    <w:rsid w:val="001E075A"/>
    <w:rsid w:val="001F4BD3"/>
    <w:rsid w:val="0021163C"/>
    <w:rsid w:val="0021777C"/>
    <w:rsid w:val="00243567"/>
    <w:rsid w:val="00262004"/>
    <w:rsid w:val="00275466"/>
    <w:rsid w:val="00287D7F"/>
    <w:rsid w:val="002934AE"/>
    <w:rsid w:val="002A4C08"/>
    <w:rsid w:val="002B6077"/>
    <w:rsid w:val="00304159"/>
    <w:rsid w:val="00322C2B"/>
    <w:rsid w:val="00323093"/>
    <w:rsid w:val="00334721"/>
    <w:rsid w:val="00344AAD"/>
    <w:rsid w:val="00365D9A"/>
    <w:rsid w:val="00365FED"/>
    <w:rsid w:val="00377C33"/>
    <w:rsid w:val="00383B7B"/>
    <w:rsid w:val="00391694"/>
    <w:rsid w:val="00392262"/>
    <w:rsid w:val="003A5649"/>
    <w:rsid w:val="003A7909"/>
    <w:rsid w:val="003F55AC"/>
    <w:rsid w:val="004232E6"/>
    <w:rsid w:val="00433038"/>
    <w:rsid w:val="00472553"/>
    <w:rsid w:val="004936B1"/>
    <w:rsid w:val="004D1EF7"/>
    <w:rsid w:val="004F6BCF"/>
    <w:rsid w:val="005038CE"/>
    <w:rsid w:val="00507410"/>
    <w:rsid w:val="00511756"/>
    <w:rsid w:val="0051400D"/>
    <w:rsid w:val="00522A3F"/>
    <w:rsid w:val="00535FFE"/>
    <w:rsid w:val="0055778B"/>
    <w:rsid w:val="00572468"/>
    <w:rsid w:val="0057304A"/>
    <w:rsid w:val="00573B04"/>
    <w:rsid w:val="00585515"/>
    <w:rsid w:val="005D6C61"/>
    <w:rsid w:val="00600119"/>
    <w:rsid w:val="00617FC7"/>
    <w:rsid w:val="00623CC8"/>
    <w:rsid w:val="00626CB9"/>
    <w:rsid w:val="00633935"/>
    <w:rsid w:val="00657295"/>
    <w:rsid w:val="00673AC9"/>
    <w:rsid w:val="006A39C6"/>
    <w:rsid w:val="006A4684"/>
    <w:rsid w:val="006D0E9F"/>
    <w:rsid w:val="006E093A"/>
    <w:rsid w:val="006F1AB7"/>
    <w:rsid w:val="006F53F7"/>
    <w:rsid w:val="00706D9C"/>
    <w:rsid w:val="0071207D"/>
    <w:rsid w:val="00747910"/>
    <w:rsid w:val="007C5EC2"/>
    <w:rsid w:val="007D62C5"/>
    <w:rsid w:val="007F1B92"/>
    <w:rsid w:val="008136CC"/>
    <w:rsid w:val="008215B6"/>
    <w:rsid w:val="00827F17"/>
    <w:rsid w:val="00837AD1"/>
    <w:rsid w:val="00842D84"/>
    <w:rsid w:val="0086683A"/>
    <w:rsid w:val="00872695"/>
    <w:rsid w:val="00883121"/>
    <w:rsid w:val="008D1CE8"/>
    <w:rsid w:val="008D4730"/>
    <w:rsid w:val="008D7A2E"/>
    <w:rsid w:val="00901730"/>
    <w:rsid w:val="00922B33"/>
    <w:rsid w:val="00926189"/>
    <w:rsid w:val="00935E3F"/>
    <w:rsid w:val="009365BD"/>
    <w:rsid w:val="0099460F"/>
    <w:rsid w:val="00996CD1"/>
    <w:rsid w:val="009A1307"/>
    <w:rsid w:val="009F4511"/>
    <w:rsid w:val="00A10C7E"/>
    <w:rsid w:val="00A41BDB"/>
    <w:rsid w:val="00A65869"/>
    <w:rsid w:val="00A83521"/>
    <w:rsid w:val="00A85411"/>
    <w:rsid w:val="00A910C9"/>
    <w:rsid w:val="00A938AC"/>
    <w:rsid w:val="00A94126"/>
    <w:rsid w:val="00AB70CA"/>
    <w:rsid w:val="00AC5260"/>
    <w:rsid w:val="00AC6C00"/>
    <w:rsid w:val="00AD2299"/>
    <w:rsid w:val="00AD6725"/>
    <w:rsid w:val="00B071C1"/>
    <w:rsid w:val="00B13746"/>
    <w:rsid w:val="00B420AB"/>
    <w:rsid w:val="00B5122A"/>
    <w:rsid w:val="00B513D7"/>
    <w:rsid w:val="00B53D45"/>
    <w:rsid w:val="00B56C8D"/>
    <w:rsid w:val="00B572E5"/>
    <w:rsid w:val="00B642FD"/>
    <w:rsid w:val="00B67B1B"/>
    <w:rsid w:val="00BA1974"/>
    <w:rsid w:val="00BA4560"/>
    <w:rsid w:val="00BF1A4A"/>
    <w:rsid w:val="00BF4E89"/>
    <w:rsid w:val="00C13088"/>
    <w:rsid w:val="00C17468"/>
    <w:rsid w:val="00C316CC"/>
    <w:rsid w:val="00C33E3C"/>
    <w:rsid w:val="00C35639"/>
    <w:rsid w:val="00C459E5"/>
    <w:rsid w:val="00C478DB"/>
    <w:rsid w:val="00C529C5"/>
    <w:rsid w:val="00C57C87"/>
    <w:rsid w:val="00C62448"/>
    <w:rsid w:val="00C73C60"/>
    <w:rsid w:val="00CB0787"/>
    <w:rsid w:val="00CB1EC6"/>
    <w:rsid w:val="00CE0363"/>
    <w:rsid w:val="00CF2287"/>
    <w:rsid w:val="00CF5FE4"/>
    <w:rsid w:val="00D05674"/>
    <w:rsid w:val="00D46429"/>
    <w:rsid w:val="00D57FD8"/>
    <w:rsid w:val="00D75216"/>
    <w:rsid w:val="00DA6CB2"/>
    <w:rsid w:val="00DB559D"/>
    <w:rsid w:val="00DC0E35"/>
    <w:rsid w:val="00DC5661"/>
    <w:rsid w:val="00E0450E"/>
    <w:rsid w:val="00E30CCE"/>
    <w:rsid w:val="00E54E6A"/>
    <w:rsid w:val="00E64778"/>
    <w:rsid w:val="00E64879"/>
    <w:rsid w:val="00EA5726"/>
    <w:rsid w:val="00EB2F5C"/>
    <w:rsid w:val="00F02852"/>
    <w:rsid w:val="00F03939"/>
    <w:rsid w:val="00F05780"/>
    <w:rsid w:val="00F4194E"/>
    <w:rsid w:val="00F66237"/>
    <w:rsid w:val="00F703A2"/>
    <w:rsid w:val="00F73900"/>
    <w:rsid w:val="00FC0DC1"/>
    <w:rsid w:val="00FC5BD0"/>
    <w:rsid w:val="00FD2D03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BE01"/>
  <w15:docId w15:val="{9EB41C87-2716-4E95-8BD6-8AD3CCC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5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5216"/>
    <w:pPr>
      <w:ind w:left="720"/>
      <w:contextualSpacing/>
    </w:pPr>
  </w:style>
  <w:style w:type="paragraph" w:customStyle="1" w:styleId="Standard">
    <w:name w:val="Standard"/>
    <w:rsid w:val="00FC5BD0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19A037627B34C9B358C664914694D" ma:contentTypeVersion="9" ma:contentTypeDescription="Create a new document." ma:contentTypeScope="" ma:versionID="864c95269a0609de36ba757afe0a178a">
  <xsd:schema xmlns:xsd="http://www.w3.org/2001/XMLSchema" xmlns:xs="http://www.w3.org/2001/XMLSchema" xmlns:p="http://schemas.microsoft.com/office/2006/metadata/properties" xmlns:ns3="728dbe92-8917-40fb-ac66-8447a44bc56c" targetNamespace="http://schemas.microsoft.com/office/2006/metadata/properties" ma:root="true" ma:fieldsID="891393a5b96a60b21567b35c3a36f46d" ns3:_="">
    <xsd:import namespace="728dbe92-8917-40fb-ac66-8447a44bc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be92-8917-40fb-ac66-8447a44bc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6753-00F3-41FA-8962-AF7EEAE80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417AE-25D6-476A-8B01-AB1054958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AE9C3-9F20-4269-A5EC-A4B50A742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dbe92-8917-40fb-ac66-8447a44bc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F0B72-B685-462F-BDBD-9BA5DD82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Lenovo_računalo</dc:creator>
  <cp:lastModifiedBy>Tajnistvo</cp:lastModifiedBy>
  <cp:revision>4</cp:revision>
  <cp:lastPrinted>2024-01-31T07:05:00Z</cp:lastPrinted>
  <dcterms:created xsi:type="dcterms:W3CDTF">2024-02-15T06:35:00Z</dcterms:created>
  <dcterms:modified xsi:type="dcterms:W3CDTF">2024-02-15T06:40:00Z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0x010100BBD19A037627B34C9B358C664914694D</vt:lpwstr>
  </property>
</Properties>
</file>